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8F64" w14:textId="6D5C8FD9" w:rsidR="000659A2" w:rsidRDefault="00A52808" w:rsidP="001B135A">
      <w:pPr>
        <w:pStyle w:val="Heading1"/>
      </w:pPr>
      <w:r>
        <w:rPr>
          <w:noProof/>
        </w:rPr>
        <mc:AlternateContent>
          <mc:Choice Requires="wps">
            <w:drawing>
              <wp:anchor distT="45720" distB="45720" distL="114300" distR="114300" simplePos="0" relativeHeight="251658242" behindDoc="0" locked="0" layoutInCell="1" allowOverlap="1" wp14:anchorId="5D2D471D" wp14:editId="6D451B07">
                <wp:simplePos x="0" y="0"/>
                <wp:positionH relativeFrom="margin">
                  <wp:align>left</wp:align>
                </wp:positionH>
                <wp:positionV relativeFrom="paragraph">
                  <wp:posOffset>-717550</wp:posOffset>
                </wp:positionV>
                <wp:extent cx="5455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404620"/>
                        </a:xfrm>
                        <a:prstGeom prst="rect">
                          <a:avLst/>
                        </a:prstGeom>
                        <a:noFill/>
                        <a:ln w="9525">
                          <a:noFill/>
                          <a:miter lim="800000"/>
                          <a:headEnd/>
                          <a:tailEnd/>
                        </a:ln>
                      </wps:spPr>
                      <wps:txbx>
                        <w:txbxContent>
                          <w:p w14:paraId="33B54096" w14:textId="50B2D107" w:rsidR="00556A00" w:rsidRPr="00505400" w:rsidRDefault="00505400" w:rsidP="00556A00">
                            <w:pPr>
                              <w:pStyle w:val="Title"/>
                              <w:rPr>
                                <w:rFonts w:ascii="Arial" w:hAnsi="Arial" w:cs="Arial"/>
                                <w:color w:val="FFFFFF" w:themeColor="background1"/>
                                <w:sz w:val="44"/>
                                <w:szCs w:val="44"/>
                              </w:rPr>
                            </w:pPr>
                            <w:r w:rsidRPr="00505400">
                              <w:rPr>
                                <w:rFonts w:ascii="Arial" w:hAnsi="Arial" w:cs="Arial"/>
                                <w:color w:val="FFFFFF" w:themeColor="background1"/>
                                <w:sz w:val="44"/>
                                <w:szCs w:val="44"/>
                              </w:rPr>
                              <w:t xml:space="preserve">FAQ on Use of </w:t>
                            </w:r>
                            <w:r w:rsidR="006469CD">
                              <w:rPr>
                                <w:rFonts w:ascii="Arial" w:hAnsi="Arial" w:cs="Arial"/>
                                <w:color w:val="FFFFFF" w:themeColor="background1"/>
                                <w:sz w:val="44"/>
                                <w:szCs w:val="44"/>
                              </w:rPr>
                              <w:t xml:space="preserve">ACL </w:t>
                            </w:r>
                            <w:r w:rsidRPr="00505400">
                              <w:rPr>
                                <w:rFonts w:ascii="Arial" w:hAnsi="Arial" w:cs="Arial"/>
                                <w:color w:val="FFFFFF" w:themeColor="background1"/>
                                <w:sz w:val="44"/>
                                <w:szCs w:val="44"/>
                              </w:rPr>
                              <w:t>Funding for Incentives</w:t>
                            </w:r>
                          </w:p>
                          <w:p w14:paraId="74F0F6EA" w14:textId="01646C1C" w:rsidR="00E911F9" w:rsidRPr="00E911F9" w:rsidRDefault="006469CD" w:rsidP="00E911F9">
                            <w:pPr>
                              <w:pStyle w:val="Subtitle"/>
                              <w:rPr>
                                <w:rFonts w:cs="Arial"/>
                                <w:color w:val="FFFFFF" w:themeColor="background1"/>
                              </w:rPr>
                            </w:pPr>
                            <w:r>
                              <w:rPr>
                                <w:rFonts w:cs="Arial"/>
                                <w:color w:val="FFFFFF" w:themeColor="background1"/>
                              </w:rPr>
                              <w:t>August 1,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D471D" id="_x0000_t202" coordsize="21600,21600" o:spt="202" path="m,l,21600r21600,l21600,xe">
                <v:stroke joinstyle="miter"/>
                <v:path gradientshapeok="t" o:connecttype="rect"/>
              </v:shapetype>
              <v:shape id="Text Box 2" o:spid="_x0000_s1026" type="#_x0000_t202" style="position:absolute;margin-left:0;margin-top:-56.5pt;width:429.6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" filled="f" stroked="f">
                <v:textbox style="mso-fit-shape-to-text:t">
                  <w:txbxContent>
                    <w:p w14:paraId="33B54096" w14:textId="50B2D107" w:rsidR="00556A00" w:rsidRPr="00505400" w:rsidRDefault="00505400" w:rsidP="00556A00">
                      <w:pPr>
                        <w:pStyle w:val="Title"/>
                        <w:rPr>
                          <w:rFonts w:ascii="Arial" w:hAnsi="Arial" w:cs="Arial"/>
                          <w:color w:val="FFFFFF" w:themeColor="background1"/>
                          <w:sz w:val="44"/>
                          <w:szCs w:val="44"/>
                        </w:rPr>
                      </w:pPr>
                      <w:r w:rsidRPr="00505400">
                        <w:rPr>
                          <w:rFonts w:ascii="Arial" w:hAnsi="Arial" w:cs="Arial"/>
                          <w:color w:val="FFFFFF" w:themeColor="background1"/>
                          <w:sz w:val="44"/>
                          <w:szCs w:val="44"/>
                        </w:rPr>
                        <w:t xml:space="preserve">FAQ on Use of </w:t>
                      </w:r>
                      <w:r w:rsidR="006469CD">
                        <w:rPr>
                          <w:rFonts w:ascii="Arial" w:hAnsi="Arial" w:cs="Arial"/>
                          <w:color w:val="FFFFFF" w:themeColor="background1"/>
                          <w:sz w:val="44"/>
                          <w:szCs w:val="44"/>
                        </w:rPr>
                        <w:t xml:space="preserve">ACL </w:t>
                      </w:r>
                      <w:r w:rsidRPr="00505400">
                        <w:rPr>
                          <w:rFonts w:ascii="Arial" w:hAnsi="Arial" w:cs="Arial"/>
                          <w:color w:val="FFFFFF" w:themeColor="background1"/>
                          <w:sz w:val="44"/>
                          <w:szCs w:val="44"/>
                        </w:rPr>
                        <w:t>Funding for Incentives</w:t>
                      </w:r>
                    </w:p>
                    <w:p w14:paraId="74F0F6EA" w14:textId="01646C1C" w:rsidR="00E911F9" w:rsidRPr="00E911F9" w:rsidRDefault="006469CD" w:rsidP="00E911F9">
                      <w:pPr>
                        <w:pStyle w:val="Subtitle"/>
                        <w:rPr>
                          <w:rFonts w:cs="Arial"/>
                          <w:color w:val="FFFFFF" w:themeColor="background1"/>
                        </w:rPr>
                      </w:pPr>
                      <w:r>
                        <w:rPr>
                          <w:rFonts w:cs="Arial"/>
                          <w:color w:val="FFFFFF" w:themeColor="background1"/>
                        </w:rPr>
                        <w:t>August 1, 2021</w:t>
                      </w:r>
                    </w:p>
                  </w:txbxContent>
                </v:textbox>
                <w10:wrap anchorx="margin"/>
              </v:shape>
            </w:pict>
          </mc:Fallback>
        </mc:AlternateContent>
      </w:r>
      <w:r>
        <w:rPr>
          <w:noProof/>
        </w:rPr>
        <w:drawing>
          <wp:anchor distT="0" distB="0" distL="114300" distR="114300" simplePos="0" relativeHeight="251658240" behindDoc="0" locked="0" layoutInCell="1" allowOverlap="1" wp14:anchorId="49D13F33" wp14:editId="5975EEEC">
            <wp:simplePos x="0" y="0"/>
            <wp:positionH relativeFrom="column">
              <wp:posOffset>-457200</wp:posOffset>
            </wp:positionH>
            <wp:positionV relativeFrom="paragraph">
              <wp:posOffset>-1202690</wp:posOffset>
            </wp:positionV>
            <wp:extent cx="7772400" cy="1653540"/>
            <wp:effectExtent l="0" t="0" r="0" b="3810"/>
            <wp:wrapNone/>
            <wp:docPr id="2" name="docshap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0" cy="165354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58241" behindDoc="0" locked="0" layoutInCell="1" allowOverlap="1" wp14:anchorId="21378097" wp14:editId="07E64F75">
            <wp:simplePos x="0" y="0"/>
            <wp:positionH relativeFrom="column">
              <wp:posOffset>5684520</wp:posOffset>
            </wp:positionH>
            <wp:positionV relativeFrom="paragraph">
              <wp:posOffset>-777240</wp:posOffset>
            </wp:positionV>
            <wp:extent cx="1326515" cy="548597"/>
            <wp:effectExtent l="0" t="0" r="6985" b="4445"/>
            <wp:wrapNone/>
            <wp:docPr id="4" name="Picture 4" descr="Administration for Community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dministration for Community Li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6515" cy="548597"/>
                    </a:xfrm>
                    <a:prstGeom prst="rect">
                      <a:avLst/>
                    </a:prstGeom>
                  </pic:spPr>
                </pic:pic>
              </a:graphicData>
            </a:graphic>
            <wp14:sizeRelH relativeFrom="page">
              <wp14:pctWidth>0</wp14:pctWidth>
            </wp14:sizeRelH>
            <wp14:sizeRelV relativeFrom="page">
              <wp14:pctHeight>0</wp14:pctHeight>
            </wp14:sizeRelV>
          </wp:anchor>
        </w:drawing>
      </w:r>
    </w:p>
    <w:p w14:paraId="4BE62804" w14:textId="101A0892" w:rsidR="003F66C5" w:rsidRPr="0059775D" w:rsidRDefault="009C171C" w:rsidP="006469CD">
      <w:pPr>
        <w:pStyle w:val="Heading2"/>
        <w:rPr>
          <w:rFonts w:eastAsiaTheme="minorHAnsi" w:cstheme="minorBidi"/>
          <w:b w:val="0"/>
          <w:bCs w:val="0"/>
          <w:color w:val="auto"/>
        </w:rPr>
      </w:pPr>
      <w:r w:rsidRPr="0059775D">
        <w:rPr>
          <w:rFonts w:eastAsiaTheme="minorHAnsi" w:cstheme="minorBidi"/>
          <w:b w:val="0"/>
          <w:bCs w:val="0"/>
          <w:color w:val="auto"/>
        </w:rPr>
        <w:t xml:space="preserve">Businesses, non-profit organizations, and research entities have long used incentives to raise awareness and encourage participation in their programs and services. Incentives such as gift cards, vouchers, giveaways, or prize items can motivate an individual to </w:t>
      </w:r>
      <w:proofErr w:type="gramStart"/>
      <w:r w:rsidRPr="0059775D">
        <w:rPr>
          <w:rFonts w:eastAsiaTheme="minorHAnsi" w:cstheme="minorBidi"/>
          <w:b w:val="0"/>
          <w:bCs w:val="0"/>
          <w:color w:val="auto"/>
        </w:rPr>
        <w:t>take action</w:t>
      </w:r>
      <w:proofErr w:type="gramEnd"/>
      <w:r w:rsidRPr="0059775D">
        <w:rPr>
          <w:rFonts w:eastAsiaTheme="minorHAnsi" w:cstheme="minorBidi"/>
          <w:b w:val="0"/>
          <w:bCs w:val="0"/>
          <w:color w:val="auto"/>
        </w:rPr>
        <w:t xml:space="preserve"> when they may not have otherwise.</w:t>
      </w:r>
      <w:r w:rsidR="00CB2E52" w:rsidRPr="0059775D">
        <w:rPr>
          <w:rFonts w:eastAsiaTheme="minorHAnsi" w:cstheme="minorBidi"/>
          <w:b w:val="0"/>
          <w:bCs w:val="0"/>
          <w:color w:val="auto"/>
        </w:rPr>
        <w:t xml:space="preserve"> </w:t>
      </w:r>
      <w:r w:rsidRPr="0059775D">
        <w:rPr>
          <w:rFonts w:eastAsiaTheme="minorHAnsi" w:cstheme="minorBidi"/>
          <w:b w:val="0"/>
          <w:bCs w:val="0"/>
          <w:color w:val="auto"/>
        </w:rPr>
        <w:t>Wit</w:t>
      </w:r>
      <w:r w:rsidR="00CB2E52" w:rsidRPr="0059775D">
        <w:rPr>
          <w:rFonts w:eastAsiaTheme="minorHAnsi" w:cstheme="minorBidi"/>
          <w:b w:val="0"/>
          <w:bCs w:val="0"/>
          <w:color w:val="auto"/>
        </w:rPr>
        <w:t>h</w:t>
      </w:r>
      <w:r w:rsidRPr="0059775D">
        <w:rPr>
          <w:rFonts w:eastAsiaTheme="minorHAnsi" w:cstheme="minorBidi"/>
          <w:b w:val="0"/>
          <w:bCs w:val="0"/>
          <w:color w:val="auto"/>
        </w:rPr>
        <w:t xml:space="preserve">in the </w:t>
      </w:r>
      <w:r w:rsidR="00683A7C" w:rsidRPr="0059775D">
        <w:rPr>
          <w:rFonts w:eastAsiaTheme="minorHAnsi" w:cstheme="minorBidi"/>
          <w:b w:val="0"/>
          <w:bCs w:val="0"/>
          <w:color w:val="auto"/>
        </w:rPr>
        <w:t>AoD</w:t>
      </w:r>
      <w:r w:rsidRPr="0059775D">
        <w:rPr>
          <w:rFonts w:eastAsiaTheme="minorHAnsi" w:cstheme="minorBidi"/>
          <w:b w:val="0"/>
          <w:bCs w:val="0"/>
          <w:color w:val="auto"/>
        </w:rPr>
        <w:t xml:space="preserve"> network, incentives can be a useful tool. When used thoughtfully, they can increase the success of many programs. </w:t>
      </w:r>
    </w:p>
    <w:p w14:paraId="7BBB4408" w14:textId="4D1CFEBA" w:rsidR="003F66C5" w:rsidRPr="0059775D" w:rsidRDefault="003F66C5" w:rsidP="003F66C5">
      <w:pPr>
        <w:spacing w:before="240"/>
        <w:rPr>
          <w:sz w:val="24"/>
          <w:szCs w:val="24"/>
        </w:rPr>
      </w:pPr>
      <w:r w:rsidRPr="0059775D">
        <w:rPr>
          <w:sz w:val="24"/>
          <w:szCs w:val="24"/>
        </w:rPr>
        <w:t xml:space="preserve">The purpose of this </w:t>
      </w:r>
      <w:r w:rsidR="00683A7C" w:rsidRPr="0059775D">
        <w:rPr>
          <w:sz w:val="24"/>
          <w:szCs w:val="24"/>
        </w:rPr>
        <w:t xml:space="preserve">FAQ is to provide AoD grantees </w:t>
      </w:r>
      <w:r w:rsidR="006D4FE9" w:rsidRPr="0059775D">
        <w:rPr>
          <w:sz w:val="24"/>
          <w:szCs w:val="24"/>
        </w:rPr>
        <w:t>that received funding to address the COVID-19 pandemic</w:t>
      </w:r>
      <w:r w:rsidR="000A53C5" w:rsidRPr="0059775D">
        <w:rPr>
          <w:rStyle w:val="FootnoteReference"/>
          <w:sz w:val="24"/>
          <w:szCs w:val="24"/>
        </w:rPr>
        <w:footnoteReference w:id="2"/>
      </w:r>
      <w:r w:rsidR="006D4FE9" w:rsidRPr="0059775D">
        <w:rPr>
          <w:sz w:val="24"/>
          <w:szCs w:val="24"/>
        </w:rPr>
        <w:t xml:space="preserve"> </w:t>
      </w:r>
      <w:r w:rsidR="00683A7C" w:rsidRPr="0059775D">
        <w:rPr>
          <w:sz w:val="24"/>
          <w:szCs w:val="24"/>
        </w:rPr>
        <w:t>w</w:t>
      </w:r>
      <w:r w:rsidRPr="0059775D">
        <w:rPr>
          <w:sz w:val="24"/>
          <w:szCs w:val="24"/>
        </w:rPr>
        <w:t>ith a basic understanding of the most common types of incentives and how to use them effectively.</w:t>
      </w:r>
    </w:p>
    <w:p w14:paraId="5A2DE3CF" w14:textId="305FFF08" w:rsidR="003F66C5" w:rsidRPr="0059775D" w:rsidRDefault="003F66C5" w:rsidP="006469CD">
      <w:pPr>
        <w:pStyle w:val="ListParagraph"/>
        <w:numPr>
          <w:ilvl w:val="0"/>
          <w:numId w:val="6"/>
        </w:numPr>
        <w:spacing w:before="240"/>
        <w:rPr>
          <w:b/>
          <w:bCs/>
          <w:sz w:val="24"/>
          <w:szCs w:val="24"/>
        </w:rPr>
      </w:pPr>
      <w:r w:rsidRPr="0059775D">
        <w:rPr>
          <w:b/>
          <w:bCs/>
          <w:sz w:val="24"/>
          <w:szCs w:val="24"/>
        </w:rPr>
        <w:t xml:space="preserve">Can an </w:t>
      </w:r>
      <w:r w:rsidR="00683A7C" w:rsidRPr="0059775D">
        <w:rPr>
          <w:b/>
          <w:bCs/>
          <w:sz w:val="24"/>
          <w:szCs w:val="24"/>
        </w:rPr>
        <w:t>AoD grantees</w:t>
      </w:r>
      <w:r w:rsidRPr="0059775D">
        <w:rPr>
          <w:b/>
          <w:bCs/>
          <w:sz w:val="24"/>
          <w:szCs w:val="24"/>
        </w:rPr>
        <w:t xml:space="preserve"> use funding to establish one or more incentive programs?</w:t>
      </w:r>
    </w:p>
    <w:p w14:paraId="49641CC1" w14:textId="42AAEEE3" w:rsidR="003F66C5" w:rsidRPr="0059775D" w:rsidRDefault="003F66C5" w:rsidP="003F66C5">
      <w:pPr>
        <w:rPr>
          <w:sz w:val="24"/>
          <w:szCs w:val="24"/>
        </w:rPr>
      </w:pPr>
      <w:r w:rsidRPr="0059775D">
        <w:rPr>
          <w:sz w:val="24"/>
          <w:szCs w:val="24"/>
        </w:rPr>
        <w:t>Yes. Gift cards, gift items, giveaways, and prizes may be used in limited circumstances to meet the programmatic goals</w:t>
      </w:r>
      <w:r w:rsidR="00683A7C" w:rsidRPr="0059775D">
        <w:rPr>
          <w:sz w:val="24"/>
          <w:szCs w:val="24"/>
        </w:rPr>
        <w:t>.</w:t>
      </w:r>
      <w:r w:rsidR="00514B3F" w:rsidRPr="0059775D">
        <w:rPr>
          <w:sz w:val="24"/>
          <w:szCs w:val="24"/>
        </w:rPr>
        <w:t xml:space="preserve"> </w:t>
      </w:r>
      <w:r w:rsidRPr="0059775D">
        <w:rPr>
          <w:sz w:val="24"/>
          <w:szCs w:val="24"/>
        </w:rPr>
        <w:t>If a</w:t>
      </w:r>
      <w:r w:rsidR="00683A7C" w:rsidRPr="0059775D">
        <w:rPr>
          <w:sz w:val="24"/>
          <w:szCs w:val="24"/>
        </w:rPr>
        <w:t xml:space="preserve"> </w:t>
      </w:r>
      <w:r w:rsidR="000A53C5" w:rsidRPr="0059775D">
        <w:rPr>
          <w:sz w:val="24"/>
          <w:szCs w:val="24"/>
        </w:rPr>
        <w:t xml:space="preserve">CIL, DDC, P&amp;A, or UCEDD </w:t>
      </w:r>
      <w:r w:rsidRPr="0059775D">
        <w:rPr>
          <w:sz w:val="24"/>
          <w:szCs w:val="24"/>
        </w:rPr>
        <w:t>cho</w:t>
      </w:r>
      <w:r w:rsidR="00857BAB" w:rsidRPr="0059775D">
        <w:rPr>
          <w:sz w:val="24"/>
          <w:szCs w:val="24"/>
        </w:rPr>
        <w:t>o</w:t>
      </w:r>
      <w:r w:rsidRPr="0059775D">
        <w:rPr>
          <w:sz w:val="24"/>
          <w:szCs w:val="24"/>
        </w:rPr>
        <w:t>ses to allow and implement an incentive program:</w:t>
      </w:r>
    </w:p>
    <w:p w14:paraId="4A54D594" w14:textId="0C106475" w:rsidR="005B08B9" w:rsidRPr="0059775D" w:rsidRDefault="005B08B9" w:rsidP="00D0790D">
      <w:pPr>
        <w:pStyle w:val="ListParagraph"/>
        <w:numPr>
          <w:ilvl w:val="0"/>
          <w:numId w:val="2"/>
        </w:numPr>
        <w:spacing w:before="60" w:after="0"/>
        <w:contextualSpacing w:val="0"/>
        <w:rPr>
          <w:sz w:val="24"/>
          <w:szCs w:val="24"/>
        </w:rPr>
      </w:pPr>
      <w:r w:rsidRPr="0059775D">
        <w:rPr>
          <w:sz w:val="24"/>
          <w:szCs w:val="24"/>
        </w:rPr>
        <w:t xml:space="preserve">All costs of the incentive program must meet Federal Cost Principle (i.e., costs are reasonable, allowable, </w:t>
      </w:r>
      <w:proofErr w:type="gramStart"/>
      <w:r w:rsidRPr="0059775D">
        <w:rPr>
          <w:sz w:val="24"/>
          <w:szCs w:val="24"/>
        </w:rPr>
        <w:t>allocable</w:t>
      </w:r>
      <w:proofErr w:type="gramEnd"/>
      <w:r w:rsidR="00514B3F" w:rsidRPr="0059775D">
        <w:rPr>
          <w:sz w:val="24"/>
          <w:szCs w:val="24"/>
        </w:rPr>
        <w:t xml:space="preserve"> and necessary to meet program objectives</w:t>
      </w:r>
      <w:r w:rsidRPr="0059775D">
        <w:rPr>
          <w:sz w:val="24"/>
          <w:szCs w:val="24"/>
        </w:rPr>
        <w:t>).</w:t>
      </w:r>
      <w:r w:rsidR="00683A7C" w:rsidRPr="0059775D">
        <w:rPr>
          <w:sz w:val="24"/>
          <w:szCs w:val="24"/>
        </w:rPr>
        <w:t xml:space="preserve"> </w:t>
      </w:r>
    </w:p>
    <w:p w14:paraId="33925FC4" w14:textId="1164DBB8" w:rsidR="005B08B9" w:rsidRPr="0059775D" w:rsidRDefault="005B08B9" w:rsidP="00D0790D">
      <w:pPr>
        <w:pStyle w:val="ListParagraph"/>
        <w:numPr>
          <w:ilvl w:val="0"/>
          <w:numId w:val="2"/>
        </w:numPr>
        <w:spacing w:before="60" w:after="0"/>
        <w:contextualSpacing w:val="0"/>
        <w:rPr>
          <w:sz w:val="24"/>
          <w:szCs w:val="24"/>
        </w:rPr>
      </w:pPr>
      <w:r w:rsidRPr="0059775D">
        <w:rPr>
          <w:sz w:val="24"/>
          <w:szCs w:val="24"/>
        </w:rPr>
        <w:t xml:space="preserve">The program must adhere to all Uniform Administrative Requirements, Cost Principles and Audit Requirements for HHS Awards found at </w:t>
      </w:r>
      <w:hyperlink r:id="rId13" w:history="1">
        <w:r w:rsidRPr="0059775D">
          <w:rPr>
            <w:rStyle w:val="Hyperlink"/>
            <w:sz w:val="24"/>
            <w:szCs w:val="24"/>
          </w:rPr>
          <w:t>45 CFR 75</w:t>
        </w:r>
      </w:hyperlink>
      <w:r w:rsidRPr="0059775D">
        <w:rPr>
          <w:sz w:val="24"/>
          <w:szCs w:val="24"/>
        </w:rPr>
        <w:t xml:space="preserve"> and other applicable federal laws and regulations.</w:t>
      </w:r>
    </w:p>
    <w:p w14:paraId="1170A33E" w14:textId="1BF85E3D" w:rsidR="005B08B9" w:rsidRPr="0059775D" w:rsidRDefault="005B08B9" w:rsidP="00D0790D">
      <w:pPr>
        <w:pStyle w:val="ListParagraph"/>
        <w:numPr>
          <w:ilvl w:val="0"/>
          <w:numId w:val="2"/>
        </w:numPr>
        <w:spacing w:before="60" w:after="0"/>
        <w:contextualSpacing w:val="0"/>
        <w:rPr>
          <w:sz w:val="24"/>
          <w:szCs w:val="24"/>
        </w:rPr>
      </w:pPr>
      <w:r w:rsidRPr="0059775D">
        <w:rPr>
          <w:sz w:val="24"/>
          <w:szCs w:val="24"/>
        </w:rPr>
        <w:t>State, local</w:t>
      </w:r>
      <w:r w:rsidR="005A4324" w:rsidRPr="0059775D">
        <w:rPr>
          <w:sz w:val="24"/>
          <w:szCs w:val="24"/>
        </w:rPr>
        <w:t>,</w:t>
      </w:r>
      <w:r w:rsidRPr="0059775D">
        <w:rPr>
          <w:sz w:val="24"/>
          <w:szCs w:val="24"/>
        </w:rPr>
        <w:t xml:space="preserve"> and tribal policies, procedures, and requirements may be more restrictive than</w:t>
      </w:r>
      <w:r w:rsidR="00683A7C" w:rsidRPr="0059775D">
        <w:rPr>
          <w:sz w:val="24"/>
          <w:szCs w:val="24"/>
        </w:rPr>
        <w:t xml:space="preserve"> </w:t>
      </w:r>
      <w:r w:rsidR="0059775D" w:rsidRPr="0059775D">
        <w:rPr>
          <w:sz w:val="24"/>
          <w:szCs w:val="24"/>
        </w:rPr>
        <w:t>applicable federal</w:t>
      </w:r>
      <w:r w:rsidRPr="0059775D">
        <w:rPr>
          <w:sz w:val="24"/>
          <w:szCs w:val="24"/>
        </w:rPr>
        <w:t xml:space="preserve"> laws, regulations and policies, and these state and local restrictions must be adhered to.</w:t>
      </w:r>
    </w:p>
    <w:p w14:paraId="4A7E8581" w14:textId="2AA07B9E" w:rsidR="005B08B9" w:rsidRPr="0059775D" w:rsidRDefault="005B08B9" w:rsidP="00D0790D">
      <w:pPr>
        <w:pStyle w:val="ListParagraph"/>
        <w:numPr>
          <w:ilvl w:val="0"/>
          <w:numId w:val="2"/>
        </w:numPr>
        <w:spacing w:before="60" w:after="0"/>
        <w:contextualSpacing w:val="0"/>
        <w:rPr>
          <w:sz w:val="24"/>
          <w:szCs w:val="24"/>
        </w:rPr>
      </w:pPr>
      <w:r w:rsidRPr="0059775D">
        <w:rPr>
          <w:sz w:val="24"/>
          <w:szCs w:val="24"/>
        </w:rPr>
        <w:t>Consideration should be given to purpose of the incentive, how it will be</w:t>
      </w:r>
      <w:r w:rsidR="00CB2E52" w:rsidRPr="0059775D">
        <w:rPr>
          <w:sz w:val="24"/>
          <w:szCs w:val="24"/>
        </w:rPr>
        <w:t xml:space="preserve"> effectively and </w:t>
      </w:r>
      <w:r w:rsidR="006469CD" w:rsidRPr="0059775D">
        <w:rPr>
          <w:sz w:val="24"/>
          <w:szCs w:val="24"/>
        </w:rPr>
        <w:t>appropriately</w:t>
      </w:r>
      <w:r w:rsidR="00CB2E52" w:rsidRPr="0059775D">
        <w:rPr>
          <w:sz w:val="24"/>
          <w:szCs w:val="24"/>
        </w:rPr>
        <w:t xml:space="preserve"> implemented?</w:t>
      </w:r>
    </w:p>
    <w:p w14:paraId="4DACCF21" w14:textId="0E9309ED" w:rsidR="009A5EDA" w:rsidRPr="0059775D" w:rsidRDefault="009A5EDA" w:rsidP="009A5EDA">
      <w:pPr>
        <w:spacing w:before="60" w:after="0"/>
        <w:ind w:left="360"/>
        <w:rPr>
          <w:sz w:val="24"/>
          <w:szCs w:val="24"/>
        </w:rPr>
      </w:pPr>
    </w:p>
    <w:p w14:paraId="5CBC447C" w14:textId="58F2E701" w:rsidR="009A5EDA" w:rsidRPr="0059775D" w:rsidRDefault="009A5EDA" w:rsidP="006469CD">
      <w:pPr>
        <w:spacing w:before="60" w:after="0"/>
        <w:rPr>
          <w:sz w:val="24"/>
          <w:szCs w:val="24"/>
        </w:rPr>
      </w:pPr>
      <w:r w:rsidRPr="0059775D">
        <w:rPr>
          <w:sz w:val="24"/>
          <w:szCs w:val="24"/>
        </w:rPr>
        <w:t xml:space="preserve">It is the grantees responsibility to demonstrate how these requirements were met for each </w:t>
      </w:r>
      <w:r w:rsidR="000A53C5" w:rsidRPr="0059775D">
        <w:rPr>
          <w:sz w:val="24"/>
          <w:szCs w:val="24"/>
        </w:rPr>
        <w:t xml:space="preserve">instance when </w:t>
      </w:r>
      <w:r w:rsidRPr="0059775D">
        <w:rPr>
          <w:sz w:val="24"/>
          <w:szCs w:val="24"/>
        </w:rPr>
        <w:t>federal funds</w:t>
      </w:r>
      <w:r w:rsidR="000A53C5" w:rsidRPr="0059775D">
        <w:rPr>
          <w:sz w:val="24"/>
          <w:szCs w:val="24"/>
        </w:rPr>
        <w:t xml:space="preserve"> were used for the purpose of offering an incentive</w:t>
      </w:r>
      <w:r w:rsidRPr="0059775D">
        <w:rPr>
          <w:sz w:val="24"/>
          <w:szCs w:val="24"/>
        </w:rPr>
        <w:t>.</w:t>
      </w:r>
    </w:p>
    <w:p w14:paraId="638C0830" w14:textId="7994EFFF" w:rsidR="00056974" w:rsidRPr="0059775D" w:rsidRDefault="00056974" w:rsidP="006469CD">
      <w:pPr>
        <w:pStyle w:val="ListParagraph"/>
        <w:numPr>
          <w:ilvl w:val="0"/>
          <w:numId w:val="6"/>
        </w:numPr>
        <w:tabs>
          <w:tab w:val="left" w:pos="4600"/>
        </w:tabs>
        <w:spacing w:before="240"/>
        <w:rPr>
          <w:b/>
          <w:bCs/>
          <w:sz w:val="24"/>
          <w:szCs w:val="24"/>
        </w:rPr>
      </w:pPr>
      <w:r w:rsidRPr="0059775D">
        <w:rPr>
          <w:b/>
          <w:bCs/>
          <w:sz w:val="24"/>
          <w:szCs w:val="24"/>
        </w:rPr>
        <w:t>Can the incentive be cash?</w:t>
      </w:r>
      <w:r w:rsidR="00CB2E52" w:rsidRPr="0059775D">
        <w:rPr>
          <w:b/>
          <w:bCs/>
          <w:sz w:val="24"/>
          <w:szCs w:val="24"/>
        </w:rPr>
        <w:tab/>
      </w:r>
    </w:p>
    <w:p w14:paraId="4007A71A" w14:textId="3F68E9BC" w:rsidR="0059775D" w:rsidRPr="0059775D" w:rsidRDefault="0059775D" w:rsidP="00A25C38">
      <w:pPr>
        <w:rPr>
          <w:sz w:val="24"/>
          <w:szCs w:val="24"/>
        </w:rPr>
      </w:pPr>
      <w:r w:rsidRPr="0059775D">
        <w:rPr>
          <w:sz w:val="24"/>
          <w:szCs w:val="24"/>
        </w:rPr>
        <w:t xml:space="preserve">No. Recent reports of ability to use Federal funds to pay cash incentives </w:t>
      </w:r>
      <w:r w:rsidRPr="0059775D">
        <w:rPr>
          <w:sz w:val="24"/>
          <w:szCs w:val="24"/>
        </w:rPr>
        <w:t xml:space="preserve">to </w:t>
      </w:r>
      <w:r w:rsidRPr="0059775D">
        <w:rPr>
          <w:sz w:val="24"/>
          <w:szCs w:val="24"/>
        </w:rPr>
        <w:t>individuals to receive a vaccine are related to American Rescue Plan (ARP) funds only. The use of federal funds to pay cash incentives are not allowable with funding under the CARES Act and from the CDC Vaccine funding.</w:t>
      </w:r>
    </w:p>
    <w:p w14:paraId="71E0CE2A" w14:textId="40560B98" w:rsidR="00056974" w:rsidRPr="0059775D" w:rsidRDefault="00A25C38" w:rsidP="00A25C38">
      <w:pPr>
        <w:rPr>
          <w:b/>
          <w:bCs/>
          <w:sz w:val="24"/>
          <w:szCs w:val="24"/>
        </w:rPr>
      </w:pPr>
      <w:r w:rsidRPr="0059775D">
        <w:rPr>
          <w:b/>
          <w:bCs/>
          <w:sz w:val="24"/>
          <w:szCs w:val="24"/>
        </w:rPr>
        <w:t>3)</w:t>
      </w:r>
      <w:r w:rsidR="00056974" w:rsidRPr="0059775D">
        <w:rPr>
          <w:b/>
          <w:bCs/>
          <w:sz w:val="24"/>
          <w:szCs w:val="24"/>
        </w:rPr>
        <w:t xml:space="preserve"> Can the incentive be a gift card?</w:t>
      </w:r>
    </w:p>
    <w:p w14:paraId="2F2A3E3F" w14:textId="55479682" w:rsidR="002F608F" w:rsidRPr="0059775D" w:rsidRDefault="00056974" w:rsidP="00056974">
      <w:pPr>
        <w:rPr>
          <w:sz w:val="24"/>
          <w:szCs w:val="24"/>
        </w:rPr>
      </w:pPr>
      <w:r w:rsidRPr="0059775D">
        <w:rPr>
          <w:sz w:val="24"/>
          <w:szCs w:val="24"/>
        </w:rPr>
        <w:t xml:space="preserve">Yes. While gift cards are allowable, they can present several challenges in security and accounting. In addition, such incentives are not and should not be portrayed as an endorsement by HHS or ACL of any company (or its goods, services, or policies) associated or affiliated with the incentive. For </w:t>
      </w:r>
      <w:r w:rsidRPr="0059775D">
        <w:rPr>
          <w:sz w:val="24"/>
          <w:szCs w:val="24"/>
        </w:rPr>
        <w:lastRenderedPageBreak/>
        <w:t>example, if an incentive is funded by grant funds, a general purpose pre-paid card (e.g., one issued by a credit card network brand) would more clearly separate the incentive from appearing to be an endorsement vs. a card to be used</w:t>
      </w:r>
      <w:r w:rsidR="00AD7C15" w:rsidRPr="0059775D">
        <w:rPr>
          <w:sz w:val="24"/>
          <w:szCs w:val="24"/>
        </w:rPr>
        <w:t xml:space="preserve"> </w:t>
      </w:r>
      <w:r w:rsidRPr="0059775D">
        <w:rPr>
          <w:sz w:val="24"/>
          <w:szCs w:val="24"/>
        </w:rPr>
        <w:t>only at a specific store or with a specific company. To the extent practicable given the proposed incentive, such non-endorsement should be clearly articulated.</w:t>
      </w:r>
      <w:r w:rsidR="00683A7C" w:rsidRPr="0059775D">
        <w:rPr>
          <w:sz w:val="24"/>
          <w:szCs w:val="24"/>
        </w:rPr>
        <w:br/>
      </w:r>
      <w:r w:rsidR="00683A7C" w:rsidRPr="0059775D">
        <w:rPr>
          <w:sz w:val="24"/>
          <w:szCs w:val="24"/>
        </w:rPr>
        <w:br/>
        <w:t xml:space="preserve">Please note, grantee requirements to follow all applicable regulations and 45 CFR 75 for the expenditure of </w:t>
      </w:r>
      <w:r w:rsidR="009A5EDA" w:rsidRPr="0059775D">
        <w:rPr>
          <w:sz w:val="24"/>
          <w:szCs w:val="24"/>
        </w:rPr>
        <w:t>f</w:t>
      </w:r>
      <w:r w:rsidR="00683A7C" w:rsidRPr="0059775D">
        <w:rPr>
          <w:sz w:val="24"/>
          <w:szCs w:val="24"/>
        </w:rPr>
        <w:t>ederal funds also applies to use of gift cards, including by the recipient of the gift card. All expenses that are unallowable uses for a federal grantee are also unallowable uses of a gift card, even if the grantee has no way to control use of the gift card. This should be taken into consideration when determining if, and how, to use gift cards.</w:t>
      </w:r>
    </w:p>
    <w:p w14:paraId="0A6C58F1" w14:textId="7A39D209" w:rsidR="006F514C" w:rsidRPr="0059775D" w:rsidRDefault="00A25C38" w:rsidP="006469CD">
      <w:pPr>
        <w:spacing w:before="240"/>
        <w:rPr>
          <w:b/>
          <w:bCs/>
          <w:sz w:val="24"/>
          <w:szCs w:val="24"/>
        </w:rPr>
      </w:pPr>
      <w:r w:rsidRPr="0059775D">
        <w:rPr>
          <w:b/>
          <w:bCs/>
          <w:sz w:val="24"/>
          <w:szCs w:val="24"/>
        </w:rPr>
        <w:t>4)</w:t>
      </w:r>
      <w:r w:rsidR="006F514C" w:rsidRPr="0059775D">
        <w:rPr>
          <w:b/>
          <w:bCs/>
          <w:sz w:val="24"/>
          <w:szCs w:val="24"/>
        </w:rPr>
        <w:t xml:space="preserve"> Is there a limit to how much the incentive can be?</w:t>
      </w:r>
    </w:p>
    <w:p w14:paraId="799CCCD8" w14:textId="65AAAE53" w:rsidR="006F514C" w:rsidRPr="0059775D" w:rsidRDefault="006F514C" w:rsidP="006F514C">
      <w:pPr>
        <w:rPr>
          <w:sz w:val="24"/>
          <w:szCs w:val="24"/>
        </w:rPr>
      </w:pPr>
      <w:r w:rsidRPr="0059775D">
        <w:rPr>
          <w:sz w:val="24"/>
          <w:szCs w:val="24"/>
        </w:rPr>
        <w:t xml:space="preserve">While there is no specific dollar amount limit, the amount of the incentive must be allocable and reasonable. Policies and procedures should be developed to ensure adherence to </w:t>
      </w:r>
      <w:hyperlink r:id="rId14" w:history="1">
        <w:r w:rsidRPr="0059775D">
          <w:rPr>
            <w:rStyle w:val="Hyperlink"/>
            <w:sz w:val="24"/>
            <w:szCs w:val="24"/>
          </w:rPr>
          <w:t>45 CFR 75</w:t>
        </w:r>
      </w:hyperlink>
      <w:r w:rsidRPr="0059775D">
        <w:rPr>
          <w:sz w:val="24"/>
          <w:szCs w:val="24"/>
        </w:rPr>
        <w:t xml:space="preserve"> and other applicable laws and regulations. A policy related the maximum amount of an incentive should be included in the policies and procedures developed.</w:t>
      </w:r>
    </w:p>
    <w:p w14:paraId="0F6B7C9F" w14:textId="11768DA6" w:rsidR="006F514C" w:rsidRPr="0059775D" w:rsidRDefault="00A25C38" w:rsidP="00D0790D">
      <w:pPr>
        <w:spacing w:before="240"/>
        <w:rPr>
          <w:b/>
          <w:bCs/>
          <w:sz w:val="24"/>
          <w:szCs w:val="24"/>
        </w:rPr>
      </w:pPr>
      <w:r w:rsidRPr="0059775D">
        <w:rPr>
          <w:b/>
          <w:bCs/>
          <w:sz w:val="24"/>
          <w:szCs w:val="24"/>
        </w:rPr>
        <w:t>5)</w:t>
      </w:r>
      <w:r w:rsidR="006F514C" w:rsidRPr="0059775D">
        <w:rPr>
          <w:b/>
          <w:bCs/>
          <w:sz w:val="24"/>
          <w:szCs w:val="24"/>
        </w:rPr>
        <w:t xml:space="preserve"> What, if any, reporting must a</w:t>
      </w:r>
      <w:r w:rsidR="00514B3F" w:rsidRPr="0059775D">
        <w:rPr>
          <w:b/>
          <w:bCs/>
          <w:sz w:val="24"/>
          <w:szCs w:val="24"/>
        </w:rPr>
        <w:t xml:space="preserve"> grantee </w:t>
      </w:r>
      <w:r w:rsidR="006F514C" w:rsidRPr="0059775D">
        <w:rPr>
          <w:b/>
          <w:bCs/>
          <w:sz w:val="24"/>
          <w:szCs w:val="24"/>
        </w:rPr>
        <w:t>do if it chooses to provide incentives?</w:t>
      </w:r>
    </w:p>
    <w:p w14:paraId="2998A6DF" w14:textId="074AF178" w:rsidR="006F514C" w:rsidRPr="0059775D" w:rsidRDefault="006F514C" w:rsidP="006F514C">
      <w:pPr>
        <w:rPr>
          <w:sz w:val="24"/>
          <w:szCs w:val="24"/>
        </w:rPr>
      </w:pPr>
      <w:r w:rsidRPr="0059775D">
        <w:rPr>
          <w:sz w:val="24"/>
          <w:szCs w:val="24"/>
        </w:rPr>
        <w:t xml:space="preserve">ACL requires the </w:t>
      </w:r>
      <w:r w:rsidR="00683A7C" w:rsidRPr="0059775D">
        <w:rPr>
          <w:sz w:val="24"/>
          <w:szCs w:val="24"/>
        </w:rPr>
        <w:t>grantees t</w:t>
      </w:r>
      <w:r w:rsidRPr="0059775D">
        <w:rPr>
          <w:sz w:val="24"/>
          <w:szCs w:val="24"/>
        </w:rPr>
        <w:t xml:space="preserve">o report information related to the use of </w:t>
      </w:r>
      <w:r w:rsidR="000A53C5" w:rsidRPr="0059775D">
        <w:rPr>
          <w:sz w:val="24"/>
          <w:szCs w:val="24"/>
        </w:rPr>
        <w:t xml:space="preserve">federal </w:t>
      </w:r>
      <w:r w:rsidRPr="0059775D">
        <w:rPr>
          <w:sz w:val="24"/>
          <w:szCs w:val="24"/>
        </w:rPr>
        <w:t>funding in its annual programmatic reporting. Incentive programs may be mentioned in the reporting categories according to the programmatic guidance provided on expenditures. Financial reporting is also required as outlined in the grant’s terms and conditions included in the Notice of Award.</w:t>
      </w:r>
    </w:p>
    <w:p w14:paraId="60467AF2" w14:textId="47E6B0B0" w:rsidR="006F514C" w:rsidRPr="0059775D" w:rsidRDefault="00A25C38" w:rsidP="00D0790D">
      <w:pPr>
        <w:spacing w:before="240"/>
        <w:rPr>
          <w:b/>
          <w:bCs/>
          <w:sz w:val="24"/>
          <w:szCs w:val="24"/>
        </w:rPr>
      </w:pPr>
      <w:r w:rsidRPr="0059775D">
        <w:rPr>
          <w:b/>
          <w:bCs/>
          <w:sz w:val="24"/>
          <w:szCs w:val="24"/>
        </w:rPr>
        <w:t>6)</w:t>
      </w:r>
      <w:r w:rsidR="006F514C" w:rsidRPr="0059775D">
        <w:rPr>
          <w:b/>
          <w:bCs/>
          <w:sz w:val="24"/>
          <w:szCs w:val="24"/>
        </w:rPr>
        <w:t xml:space="preserve"> Specifically, what should an </w:t>
      </w:r>
      <w:r w:rsidR="00683A7C" w:rsidRPr="0059775D">
        <w:rPr>
          <w:b/>
          <w:bCs/>
          <w:sz w:val="24"/>
          <w:szCs w:val="24"/>
        </w:rPr>
        <w:t>AoD grantee thi</w:t>
      </w:r>
      <w:r w:rsidR="006F514C" w:rsidRPr="0059775D">
        <w:rPr>
          <w:b/>
          <w:bCs/>
          <w:sz w:val="24"/>
          <w:szCs w:val="24"/>
        </w:rPr>
        <w:t>nk about and plan for before implementing an incentive program?</w:t>
      </w:r>
    </w:p>
    <w:p w14:paraId="2303995F" w14:textId="48978B35" w:rsidR="00720038" w:rsidRPr="0059775D" w:rsidRDefault="006F514C" w:rsidP="00720038">
      <w:pPr>
        <w:rPr>
          <w:sz w:val="24"/>
          <w:szCs w:val="24"/>
        </w:rPr>
      </w:pPr>
      <w:r w:rsidRPr="0059775D">
        <w:rPr>
          <w:sz w:val="24"/>
          <w:szCs w:val="24"/>
        </w:rPr>
        <w:t xml:space="preserve">ACL recommends that </w:t>
      </w:r>
      <w:r w:rsidR="00683A7C" w:rsidRPr="0059775D">
        <w:rPr>
          <w:sz w:val="24"/>
          <w:szCs w:val="24"/>
        </w:rPr>
        <w:t>grantees</w:t>
      </w:r>
      <w:r w:rsidRPr="0059775D">
        <w:rPr>
          <w:sz w:val="24"/>
          <w:szCs w:val="24"/>
        </w:rPr>
        <w:t xml:space="preserve"> consider the following seven elements in designing an incentive program:</w:t>
      </w:r>
      <w:r w:rsidR="00720038" w:rsidRPr="0059775D">
        <w:rPr>
          <w:sz w:val="24"/>
          <w:szCs w:val="24"/>
        </w:rPr>
        <w:t xml:space="preserve"> </w:t>
      </w:r>
    </w:p>
    <w:p w14:paraId="237B533A" w14:textId="1B99E86F"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Proposed Incentive</w:t>
      </w:r>
      <w:r w:rsidR="000A53C5" w:rsidRPr="0059775D">
        <w:rPr>
          <w:color w:val="0A5090" w:themeColor="accent1"/>
          <w:sz w:val="24"/>
          <w:szCs w:val="24"/>
        </w:rPr>
        <w:t xml:space="preserve">: </w:t>
      </w:r>
      <w:r w:rsidRPr="0059775D">
        <w:rPr>
          <w:sz w:val="24"/>
          <w:szCs w:val="24"/>
        </w:rPr>
        <w:t>i.e., what incentive will be provided</w:t>
      </w:r>
      <w:r w:rsidR="00AD7C15" w:rsidRPr="0059775D">
        <w:rPr>
          <w:sz w:val="24"/>
          <w:szCs w:val="24"/>
        </w:rPr>
        <w:t>?</w:t>
      </w:r>
    </w:p>
    <w:p w14:paraId="4D349D15" w14:textId="37D20221"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Justification</w:t>
      </w:r>
      <w:r w:rsidR="000A53C5" w:rsidRPr="0059775D">
        <w:rPr>
          <w:color w:val="0A5090" w:themeColor="accent1"/>
          <w:sz w:val="24"/>
          <w:szCs w:val="24"/>
        </w:rPr>
        <w:t>:</w:t>
      </w:r>
      <w:r w:rsidRPr="0059775D">
        <w:rPr>
          <w:sz w:val="24"/>
          <w:szCs w:val="24"/>
        </w:rPr>
        <w:t xml:space="preserve"> what is the purpose for the incentive and what is the specific reason for selecting this incentive? What evidence indicates that an incentive is needed, and what evidence suggests that the selected incentive will be effective at achieving the desired result?</w:t>
      </w:r>
    </w:p>
    <w:p w14:paraId="767B0445" w14:textId="73BB1552"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Anticipated gains</w:t>
      </w:r>
      <w:r w:rsidR="000A53C5" w:rsidRPr="0059775D">
        <w:rPr>
          <w:color w:val="0A5090" w:themeColor="accent1"/>
          <w:sz w:val="24"/>
          <w:szCs w:val="24"/>
        </w:rPr>
        <w:t>:</w:t>
      </w:r>
      <w:r w:rsidRPr="0059775D">
        <w:rPr>
          <w:b/>
          <w:bCs/>
          <w:sz w:val="24"/>
          <w:szCs w:val="24"/>
        </w:rPr>
        <w:t xml:space="preserve"> </w:t>
      </w:r>
      <w:r w:rsidRPr="0059775D">
        <w:rPr>
          <w:sz w:val="24"/>
          <w:szCs w:val="24"/>
        </w:rPr>
        <w:t>explain how providing such an incentive will defray societal costs or have a positive return on investment, for example by increasing overall participation</w:t>
      </w:r>
      <w:r w:rsidR="00AD7C15" w:rsidRPr="0059775D">
        <w:rPr>
          <w:sz w:val="24"/>
          <w:szCs w:val="24"/>
        </w:rPr>
        <w:t>.</w:t>
      </w:r>
      <w:r w:rsidRPr="0059775D">
        <w:rPr>
          <w:sz w:val="24"/>
          <w:szCs w:val="24"/>
        </w:rPr>
        <w:t xml:space="preserve"> Additionally, describe potential unintended negative consequences and how those are outweighed by the benefits</w:t>
      </w:r>
      <w:r w:rsidR="000A53C5" w:rsidRPr="0059775D">
        <w:rPr>
          <w:sz w:val="24"/>
          <w:szCs w:val="24"/>
        </w:rPr>
        <w:t>.</w:t>
      </w:r>
    </w:p>
    <w:p w14:paraId="685FBC81" w14:textId="5A15F59B"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Defined amount</w:t>
      </w:r>
      <w:r w:rsidR="000A53C5" w:rsidRPr="0059775D">
        <w:rPr>
          <w:sz w:val="24"/>
          <w:szCs w:val="24"/>
        </w:rPr>
        <w:t xml:space="preserve">: </w:t>
      </w:r>
      <w:r w:rsidRPr="0059775D">
        <w:rPr>
          <w:sz w:val="24"/>
          <w:szCs w:val="24"/>
        </w:rPr>
        <w:t>cost per person and total allocated funding for the recipient incentives</w:t>
      </w:r>
      <w:r w:rsidR="000A53C5" w:rsidRPr="0059775D">
        <w:rPr>
          <w:sz w:val="24"/>
          <w:szCs w:val="24"/>
        </w:rPr>
        <w:t>.</w:t>
      </w:r>
    </w:p>
    <w:p w14:paraId="3BCFA15E" w14:textId="12C1F0C0"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Qualifications for issuance</w:t>
      </w:r>
      <w:r w:rsidR="000A53C5" w:rsidRPr="0059775D">
        <w:rPr>
          <w:color w:val="0A5090" w:themeColor="accent1"/>
          <w:sz w:val="24"/>
          <w:szCs w:val="24"/>
        </w:rPr>
        <w:t>:</w:t>
      </w:r>
      <w:r w:rsidRPr="0059775D">
        <w:rPr>
          <w:sz w:val="24"/>
          <w:szCs w:val="24"/>
        </w:rPr>
        <w:t xml:space="preserve"> what makes a person eligible for the incentive? Does it take into consideration issues related to equity in your community?</w:t>
      </w:r>
    </w:p>
    <w:p w14:paraId="276E5A55" w14:textId="605FFBC2" w:rsidR="00720038"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Method of issuance and tracking</w:t>
      </w:r>
      <w:r w:rsidR="000A53C5" w:rsidRPr="0059775D">
        <w:rPr>
          <w:color w:val="0A5090" w:themeColor="accent1"/>
          <w:sz w:val="24"/>
          <w:szCs w:val="24"/>
        </w:rPr>
        <w:t>:</w:t>
      </w:r>
      <w:r w:rsidRPr="0059775D">
        <w:rPr>
          <w:sz w:val="24"/>
          <w:szCs w:val="24"/>
        </w:rPr>
        <w:t xml:space="preserve"> how will the incentive be delivered? Does the proposed plan and implementation align with any relevant policies and procedures governing your </w:t>
      </w:r>
      <w:r w:rsidRPr="0059775D">
        <w:rPr>
          <w:sz w:val="24"/>
          <w:szCs w:val="24"/>
        </w:rPr>
        <w:lastRenderedPageBreak/>
        <w:t xml:space="preserve">organization </w:t>
      </w:r>
      <w:r w:rsidR="00086672" w:rsidRPr="0059775D">
        <w:rPr>
          <w:sz w:val="24"/>
          <w:szCs w:val="24"/>
        </w:rPr>
        <w:t>(</w:t>
      </w:r>
      <w:r w:rsidRPr="0059775D">
        <w:rPr>
          <w:sz w:val="24"/>
          <w:szCs w:val="24"/>
        </w:rPr>
        <w:t>e.g., procurement, ethics, etc.</w:t>
      </w:r>
      <w:r w:rsidR="00086672" w:rsidRPr="0059775D">
        <w:rPr>
          <w:sz w:val="24"/>
          <w:szCs w:val="24"/>
        </w:rPr>
        <w:t>)</w:t>
      </w:r>
      <w:r w:rsidRPr="0059775D">
        <w:rPr>
          <w:sz w:val="24"/>
          <w:szCs w:val="24"/>
        </w:rPr>
        <w:t>? How will the budget and supply be tracked?</w:t>
      </w:r>
      <w:r w:rsidR="00514B3F" w:rsidRPr="0059775D">
        <w:rPr>
          <w:sz w:val="24"/>
          <w:szCs w:val="24"/>
        </w:rPr>
        <w:t xml:space="preserve"> Can the grantee assure usage will only be for allowable expenses?</w:t>
      </w:r>
    </w:p>
    <w:p w14:paraId="0AB3F387" w14:textId="0322D4C5" w:rsidR="00056974" w:rsidRPr="0059775D" w:rsidRDefault="00720038" w:rsidP="00D0790D">
      <w:pPr>
        <w:pStyle w:val="ListParagraph"/>
        <w:numPr>
          <w:ilvl w:val="0"/>
          <w:numId w:val="3"/>
        </w:numPr>
        <w:spacing w:before="60" w:after="0"/>
        <w:contextualSpacing w:val="0"/>
        <w:rPr>
          <w:sz w:val="24"/>
          <w:szCs w:val="24"/>
        </w:rPr>
      </w:pPr>
      <w:r w:rsidRPr="0059775D">
        <w:rPr>
          <w:color w:val="0A5090" w:themeColor="accent1"/>
          <w:sz w:val="24"/>
          <w:szCs w:val="24"/>
        </w:rPr>
        <w:t>Method of evaluation</w:t>
      </w:r>
      <w:r w:rsidR="000A53C5" w:rsidRPr="0059775D">
        <w:rPr>
          <w:color w:val="0A5090" w:themeColor="accent1"/>
          <w:sz w:val="24"/>
          <w:szCs w:val="24"/>
        </w:rPr>
        <w:t>:</w:t>
      </w:r>
      <w:r w:rsidRPr="0059775D">
        <w:rPr>
          <w:sz w:val="24"/>
          <w:szCs w:val="24"/>
        </w:rPr>
        <w:t xml:space="preserve"> how will the incentive plan be evaluated for effectiveness?</w:t>
      </w:r>
    </w:p>
    <w:p w14:paraId="21DF7F3B" w14:textId="368E1ABA" w:rsidR="00F26739" w:rsidRPr="0059775D" w:rsidRDefault="00F26739" w:rsidP="006469CD">
      <w:pPr>
        <w:spacing w:before="240"/>
        <w:rPr>
          <w:sz w:val="24"/>
          <w:szCs w:val="24"/>
        </w:rPr>
      </w:pPr>
    </w:p>
    <w:sectPr w:rsidR="00F26739" w:rsidRPr="0059775D" w:rsidSect="003F4353">
      <w:headerReference w:type="default" r:id="rId15"/>
      <w:footerReference w:type="default" r:id="rId16"/>
      <w:type w:val="continuous"/>
      <w:pgSz w:w="12240" w:h="15840"/>
      <w:pgMar w:top="1620" w:right="720" w:bottom="630" w:left="720" w:header="0" w:footer="7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11445" w14:textId="77777777" w:rsidR="00155C17" w:rsidRDefault="00155C17" w:rsidP="00BB7886">
      <w:pPr>
        <w:spacing w:after="0" w:line="240" w:lineRule="auto"/>
      </w:pPr>
      <w:r>
        <w:separator/>
      </w:r>
    </w:p>
  </w:endnote>
  <w:endnote w:type="continuationSeparator" w:id="0">
    <w:p w14:paraId="32D43970" w14:textId="77777777" w:rsidR="00155C17" w:rsidRDefault="00155C17" w:rsidP="00BB7886">
      <w:pPr>
        <w:spacing w:after="0" w:line="240" w:lineRule="auto"/>
      </w:pPr>
      <w:r>
        <w:continuationSeparator/>
      </w:r>
    </w:p>
  </w:endnote>
  <w:endnote w:type="continuationNotice" w:id="1">
    <w:p w14:paraId="7622C4AE" w14:textId="77777777" w:rsidR="00155C17" w:rsidRDefault="00155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F6C5" w14:textId="4611A4A5" w:rsidR="000659A2" w:rsidRDefault="000659A2">
    <w:pPr>
      <w:pStyle w:val="Footer"/>
    </w:pPr>
    <w:r>
      <w:rPr>
        <w:noProof/>
      </w:rPr>
      <w:drawing>
        <wp:anchor distT="0" distB="0" distL="114300" distR="114300" simplePos="0" relativeHeight="251658240" behindDoc="0" locked="0" layoutInCell="1" allowOverlap="1" wp14:anchorId="2DE622FD" wp14:editId="2E222754">
          <wp:simplePos x="0" y="0"/>
          <wp:positionH relativeFrom="column">
            <wp:posOffset>-449580</wp:posOffset>
          </wp:positionH>
          <wp:positionV relativeFrom="paragraph">
            <wp:posOffset>-228600</wp:posOffset>
          </wp:positionV>
          <wp:extent cx="7772400" cy="71319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713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6F7E" w14:textId="77777777" w:rsidR="00155C17" w:rsidRDefault="00155C17" w:rsidP="00BB7886">
      <w:pPr>
        <w:spacing w:after="0" w:line="240" w:lineRule="auto"/>
      </w:pPr>
      <w:r>
        <w:separator/>
      </w:r>
    </w:p>
  </w:footnote>
  <w:footnote w:type="continuationSeparator" w:id="0">
    <w:p w14:paraId="501ABC6A" w14:textId="77777777" w:rsidR="00155C17" w:rsidRDefault="00155C17" w:rsidP="00BB7886">
      <w:pPr>
        <w:spacing w:after="0" w:line="240" w:lineRule="auto"/>
      </w:pPr>
      <w:r>
        <w:continuationSeparator/>
      </w:r>
    </w:p>
  </w:footnote>
  <w:footnote w:type="continuationNotice" w:id="1">
    <w:p w14:paraId="2063F72D" w14:textId="77777777" w:rsidR="00155C17" w:rsidRDefault="00155C17">
      <w:pPr>
        <w:spacing w:after="0" w:line="240" w:lineRule="auto"/>
      </w:pPr>
    </w:p>
  </w:footnote>
  <w:footnote w:id="2">
    <w:p w14:paraId="0EA5D0B5" w14:textId="6CE9150E" w:rsidR="000A53C5" w:rsidRDefault="000A53C5">
      <w:pPr>
        <w:pStyle w:val="FootnoteText"/>
      </w:pPr>
      <w:r>
        <w:rPr>
          <w:rStyle w:val="FootnoteReference"/>
        </w:rPr>
        <w:footnoteRef/>
      </w:r>
      <w:r>
        <w:t xml:space="preserve"> The AoD grantees </w:t>
      </w:r>
      <w:r w:rsidRPr="000A53C5">
        <w:t>that received funding to address the COVID-19 pandemic</w:t>
      </w:r>
      <w:r>
        <w:t xml:space="preserve"> are the </w:t>
      </w:r>
      <w:r w:rsidRPr="000A53C5">
        <w:t>Centers for Independent Living, State Councils on Developmental Disabilities, Protections and Advocacy Systems, and University Centers for Excellence in Developmental Disabilities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E1891" w14:textId="15DDD502" w:rsidR="00BB7886" w:rsidRDefault="00BB7886" w:rsidP="00BB7886">
    <w:pPr>
      <w:pStyle w:val="Header"/>
      <w:ind w:hanging="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647A5"/>
    <w:multiLevelType w:val="hybridMultilevel"/>
    <w:tmpl w:val="A31CD9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348CD"/>
    <w:multiLevelType w:val="hybridMultilevel"/>
    <w:tmpl w:val="936E64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EF4822"/>
    <w:multiLevelType w:val="hybridMultilevel"/>
    <w:tmpl w:val="4F341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C54EB"/>
    <w:multiLevelType w:val="hybridMultilevel"/>
    <w:tmpl w:val="F312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840FB"/>
    <w:multiLevelType w:val="hybridMultilevel"/>
    <w:tmpl w:val="D334166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4F5457"/>
    <w:multiLevelType w:val="hybridMultilevel"/>
    <w:tmpl w:val="B504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86"/>
    <w:rsid w:val="000027B5"/>
    <w:rsid w:val="000035F0"/>
    <w:rsid w:val="000301DB"/>
    <w:rsid w:val="00032C52"/>
    <w:rsid w:val="00045B26"/>
    <w:rsid w:val="00056974"/>
    <w:rsid w:val="00056E99"/>
    <w:rsid w:val="000659A2"/>
    <w:rsid w:val="00066208"/>
    <w:rsid w:val="0007351C"/>
    <w:rsid w:val="00086672"/>
    <w:rsid w:val="000A53C5"/>
    <w:rsid w:val="000E73A0"/>
    <w:rsid w:val="0011470B"/>
    <w:rsid w:val="00123144"/>
    <w:rsid w:val="00133B63"/>
    <w:rsid w:val="00155C17"/>
    <w:rsid w:val="001A1C2A"/>
    <w:rsid w:val="001B135A"/>
    <w:rsid w:val="001C38C8"/>
    <w:rsid w:val="001C570F"/>
    <w:rsid w:val="001E31FC"/>
    <w:rsid w:val="00217B21"/>
    <w:rsid w:val="0022754B"/>
    <w:rsid w:val="0028475B"/>
    <w:rsid w:val="002A22F1"/>
    <w:rsid w:val="002A5E24"/>
    <w:rsid w:val="002A732C"/>
    <w:rsid w:val="002C3249"/>
    <w:rsid w:val="002D3099"/>
    <w:rsid w:val="002F496A"/>
    <w:rsid w:val="002F608F"/>
    <w:rsid w:val="002F76B9"/>
    <w:rsid w:val="0032311B"/>
    <w:rsid w:val="00336455"/>
    <w:rsid w:val="00353E6A"/>
    <w:rsid w:val="003A5863"/>
    <w:rsid w:val="003D1C4A"/>
    <w:rsid w:val="003F423A"/>
    <w:rsid w:val="003F4353"/>
    <w:rsid w:val="003F66C5"/>
    <w:rsid w:val="004365D0"/>
    <w:rsid w:val="004474C6"/>
    <w:rsid w:val="004577C6"/>
    <w:rsid w:val="00472FAA"/>
    <w:rsid w:val="004873C2"/>
    <w:rsid w:val="004E256C"/>
    <w:rsid w:val="004E434D"/>
    <w:rsid w:val="004F1F00"/>
    <w:rsid w:val="005016D8"/>
    <w:rsid w:val="00505400"/>
    <w:rsid w:val="00514B3F"/>
    <w:rsid w:val="00524AA9"/>
    <w:rsid w:val="00556A00"/>
    <w:rsid w:val="005577DC"/>
    <w:rsid w:val="005833E0"/>
    <w:rsid w:val="0059775D"/>
    <w:rsid w:val="005A4324"/>
    <w:rsid w:val="005A749D"/>
    <w:rsid w:val="005B08B9"/>
    <w:rsid w:val="006007C5"/>
    <w:rsid w:val="00603727"/>
    <w:rsid w:val="00621352"/>
    <w:rsid w:val="006469CD"/>
    <w:rsid w:val="006812F1"/>
    <w:rsid w:val="00683A7C"/>
    <w:rsid w:val="0069253A"/>
    <w:rsid w:val="006C2E72"/>
    <w:rsid w:val="006D4FE9"/>
    <w:rsid w:val="006F0E68"/>
    <w:rsid w:val="006F514C"/>
    <w:rsid w:val="00720038"/>
    <w:rsid w:val="00760E1B"/>
    <w:rsid w:val="007A7A5F"/>
    <w:rsid w:val="007E21B9"/>
    <w:rsid w:val="007E3906"/>
    <w:rsid w:val="007E720B"/>
    <w:rsid w:val="0081600D"/>
    <w:rsid w:val="00833B7F"/>
    <w:rsid w:val="00844AD0"/>
    <w:rsid w:val="00857AA9"/>
    <w:rsid w:val="00857BAB"/>
    <w:rsid w:val="008657F0"/>
    <w:rsid w:val="008C3B07"/>
    <w:rsid w:val="009055CE"/>
    <w:rsid w:val="009126A3"/>
    <w:rsid w:val="009273F5"/>
    <w:rsid w:val="00953197"/>
    <w:rsid w:val="009601E0"/>
    <w:rsid w:val="00963B44"/>
    <w:rsid w:val="009A5EDA"/>
    <w:rsid w:val="009C0101"/>
    <w:rsid w:val="009C171C"/>
    <w:rsid w:val="009E1D1F"/>
    <w:rsid w:val="009E5CD5"/>
    <w:rsid w:val="009E7426"/>
    <w:rsid w:val="00A25C38"/>
    <w:rsid w:val="00A25D14"/>
    <w:rsid w:val="00A45B82"/>
    <w:rsid w:val="00A52808"/>
    <w:rsid w:val="00A66FAB"/>
    <w:rsid w:val="00A9428A"/>
    <w:rsid w:val="00AA57B2"/>
    <w:rsid w:val="00AD7C15"/>
    <w:rsid w:val="00AF6A21"/>
    <w:rsid w:val="00B229D1"/>
    <w:rsid w:val="00B37050"/>
    <w:rsid w:val="00B5310E"/>
    <w:rsid w:val="00B7208D"/>
    <w:rsid w:val="00B80630"/>
    <w:rsid w:val="00BB05B8"/>
    <w:rsid w:val="00BB7886"/>
    <w:rsid w:val="00BE187F"/>
    <w:rsid w:val="00BF0837"/>
    <w:rsid w:val="00BF2EE2"/>
    <w:rsid w:val="00C36B55"/>
    <w:rsid w:val="00C56DAC"/>
    <w:rsid w:val="00C61526"/>
    <w:rsid w:val="00CA0302"/>
    <w:rsid w:val="00CB0314"/>
    <w:rsid w:val="00CB2E52"/>
    <w:rsid w:val="00CC4EC0"/>
    <w:rsid w:val="00D0790D"/>
    <w:rsid w:val="00D11A4D"/>
    <w:rsid w:val="00D21959"/>
    <w:rsid w:val="00D53FF0"/>
    <w:rsid w:val="00D8323D"/>
    <w:rsid w:val="00DB1792"/>
    <w:rsid w:val="00DD1758"/>
    <w:rsid w:val="00DE017D"/>
    <w:rsid w:val="00DF1107"/>
    <w:rsid w:val="00DF1C6E"/>
    <w:rsid w:val="00DF41B0"/>
    <w:rsid w:val="00E16B5B"/>
    <w:rsid w:val="00E32F3A"/>
    <w:rsid w:val="00E35F55"/>
    <w:rsid w:val="00E43327"/>
    <w:rsid w:val="00E63C73"/>
    <w:rsid w:val="00E70C96"/>
    <w:rsid w:val="00E738A0"/>
    <w:rsid w:val="00E911F9"/>
    <w:rsid w:val="00ED7D0D"/>
    <w:rsid w:val="00EF71C2"/>
    <w:rsid w:val="00EF74C2"/>
    <w:rsid w:val="00F00ABC"/>
    <w:rsid w:val="00F1461A"/>
    <w:rsid w:val="00F26739"/>
    <w:rsid w:val="00F6166E"/>
    <w:rsid w:val="00F6188F"/>
    <w:rsid w:val="00F76445"/>
    <w:rsid w:val="00F76CE7"/>
    <w:rsid w:val="00FA58F3"/>
    <w:rsid w:val="00FC47D5"/>
    <w:rsid w:val="00FE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A36FE"/>
  <w15:chartTrackingRefBased/>
  <w15:docId w15:val="{F913AA66-B4EF-4CB7-A099-F06C5986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F9"/>
    <w:rPr>
      <w:rFonts w:ascii="Arial" w:hAnsi="Arial"/>
    </w:rPr>
  </w:style>
  <w:style w:type="paragraph" w:styleId="Heading1">
    <w:name w:val="heading 1"/>
    <w:basedOn w:val="Normal"/>
    <w:next w:val="Normal"/>
    <w:link w:val="Heading1Char"/>
    <w:uiPriority w:val="9"/>
    <w:qFormat/>
    <w:rsid w:val="005016D8"/>
    <w:pPr>
      <w:keepNext/>
      <w:keepLines/>
      <w:spacing w:before="240" w:after="120"/>
      <w:outlineLvl w:val="0"/>
    </w:pPr>
    <w:rPr>
      <w:rFonts w:eastAsiaTheme="majorEastAsia" w:cstheme="majorBidi"/>
      <w:b/>
      <w:bCs/>
      <w:color w:val="073B6B" w:themeColor="accent1" w:themeShade="BF"/>
      <w:sz w:val="28"/>
      <w:szCs w:val="28"/>
    </w:rPr>
  </w:style>
  <w:style w:type="paragraph" w:styleId="Heading2">
    <w:name w:val="heading 2"/>
    <w:basedOn w:val="Normal"/>
    <w:next w:val="Normal"/>
    <w:link w:val="Heading2Char"/>
    <w:uiPriority w:val="9"/>
    <w:unhideWhenUsed/>
    <w:qFormat/>
    <w:rsid w:val="00E911F9"/>
    <w:pPr>
      <w:keepNext/>
      <w:keepLines/>
      <w:spacing w:before="240" w:after="120"/>
      <w:outlineLvl w:val="1"/>
    </w:pPr>
    <w:rPr>
      <w:rFonts w:eastAsiaTheme="majorEastAsia" w:cstheme="majorBidi"/>
      <w:b/>
      <w:bCs/>
      <w:color w:val="0A5090" w:themeColor="accent1"/>
      <w:sz w:val="24"/>
      <w:szCs w:val="24"/>
    </w:rPr>
  </w:style>
  <w:style w:type="paragraph" w:styleId="Heading3">
    <w:name w:val="heading 3"/>
    <w:basedOn w:val="Normal"/>
    <w:next w:val="Normal"/>
    <w:link w:val="Heading3Char"/>
    <w:uiPriority w:val="9"/>
    <w:unhideWhenUsed/>
    <w:qFormat/>
    <w:rsid w:val="00E911F9"/>
    <w:pPr>
      <w:keepNext/>
      <w:keepLines/>
      <w:spacing w:before="200" w:after="120"/>
      <w:outlineLvl w:val="2"/>
    </w:pPr>
    <w:rPr>
      <w:rFonts w:eastAsiaTheme="majorEastAsia" w:cstheme="majorBidi"/>
      <w:color w:val="0A509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886"/>
  </w:style>
  <w:style w:type="paragraph" w:styleId="Footer">
    <w:name w:val="footer"/>
    <w:basedOn w:val="Normal"/>
    <w:link w:val="FooterChar"/>
    <w:uiPriority w:val="99"/>
    <w:unhideWhenUsed/>
    <w:rsid w:val="00BB7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886"/>
  </w:style>
  <w:style w:type="character" w:customStyle="1" w:styleId="Heading1Char">
    <w:name w:val="Heading 1 Char"/>
    <w:basedOn w:val="DefaultParagraphFont"/>
    <w:link w:val="Heading1"/>
    <w:uiPriority w:val="9"/>
    <w:rsid w:val="005016D8"/>
    <w:rPr>
      <w:rFonts w:ascii="Arial" w:eastAsiaTheme="majorEastAsia" w:hAnsi="Arial" w:cstheme="majorBidi"/>
      <w:b/>
      <w:bCs/>
      <w:color w:val="073B6B" w:themeColor="accent1" w:themeShade="BF"/>
      <w:sz w:val="28"/>
      <w:szCs w:val="28"/>
    </w:rPr>
  </w:style>
  <w:style w:type="paragraph" w:styleId="Subtitle">
    <w:name w:val="Subtitle"/>
    <w:basedOn w:val="Normal"/>
    <w:next w:val="Normal"/>
    <w:link w:val="SubtitleChar"/>
    <w:uiPriority w:val="11"/>
    <w:qFormat/>
    <w:rsid w:val="00BB78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7886"/>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E911F9"/>
    <w:rPr>
      <w:rFonts w:ascii="Arial" w:eastAsiaTheme="majorEastAsia" w:hAnsi="Arial" w:cstheme="majorBidi"/>
      <w:b/>
      <w:bCs/>
      <w:color w:val="0A5090" w:themeColor="accent1"/>
      <w:sz w:val="24"/>
      <w:szCs w:val="24"/>
    </w:rPr>
  </w:style>
  <w:style w:type="character" w:customStyle="1" w:styleId="Heading3Char">
    <w:name w:val="Heading 3 Char"/>
    <w:basedOn w:val="DefaultParagraphFont"/>
    <w:link w:val="Heading3"/>
    <w:uiPriority w:val="9"/>
    <w:rsid w:val="00E911F9"/>
    <w:rPr>
      <w:rFonts w:ascii="Arial" w:eastAsiaTheme="majorEastAsia" w:hAnsi="Arial" w:cstheme="majorBidi"/>
      <w:color w:val="0A5090" w:themeColor="accent1"/>
    </w:rPr>
  </w:style>
  <w:style w:type="paragraph" w:styleId="Title">
    <w:name w:val="Title"/>
    <w:basedOn w:val="Normal"/>
    <w:next w:val="Normal"/>
    <w:link w:val="TitleChar"/>
    <w:uiPriority w:val="10"/>
    <w:qFormat/>
    <w:rsid w:val="00556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0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B08B9"/>
    <w:pPr>
      <w:ind w:left="720"/>
      <w:contextualSpacing/>
    </w:pPr>
  </w:style>
  <w:style w:type="character" w:styleId="Hyperlink">
    <w:name w:val="Hyperlink"/>
    <w:basedOn w:val="DefaultParagraphFont"/>
    <w:uiPriority w:val="99"/>
    <w:unhideWhenUsed/>
    <w:rsid w:val="00056974"/>
    <w:rPr>
      <w:color w:val="007EBE" w:themeColor="hyperlink"/>
      <w:u w:val="single"/>
    </w:rPr>
  </w:style>
  <w:style w:type="character" w:customStyle="1" w:styleId="UnresolvedMention1">
    <w:name w:val="Unresolved Mention1"/>
    <w:basedOn w:val="DefaultParagraphFont"/>
    <w:uiPriority w:val="99"/>
    <w:semiHidden/>
    <w:unhideWhenUsed/>
    <w:rsid w:val="00056974"/>
    <w:rPr>
      <w:color w:val="605E5C"/>
      <w:shd w:val="clear" w:color="auto" w:fill="E1DFDD"/>
    </w:rPr>
  </w:style>
  <w:style w:type="character" w:styleId="FollowedHyperlink">
    <w:name w:val="FollowedHyperlink"/>
    <w:basedOn w:val="DefaultParagraphFont"/>
    <w:uiPriority w:val="99"/>
    <w:semiHidden/>
    <w:unhideWhenUsed/>
    <w:rsid w:val="00DF41B0"/>
    <w:rPr>
      <w:color w:val="6F3B55" w:themeColor="followedHyperlink"/>
      <w:u w:val="single"/>
    </w:rPr>
  </w:style>
  <w:style w:type="character" w:styleId="CommentReference">
    <w:name w:val="annotation reference"/>
    <w:basedOn w:val="DefaultParagraphFont"/>
    <w:uiPriority w:val="99"/>
    <w:semiHidden/>
    <w:unhideWhenUsed/>
    <w:rsid w:val="0011470B"/>
    <w:rPr>
      <w:sz w:val="16"/>
      <w:szCs w:val="16"/>
    </w:rPr>
  </w:style>
  <w:style w:type="paragraph" w:styleId="CommentText">
    <w:name w:val="annotation text"/>
    <w:basedOn w:val="Normal"/>
    <w:link w:val="CommentTextChar"/>
    <w:uiPriority w:val="99"/>
    <w:unhideWhenUsed/>
    <w:rsid w:val="0011470B"/>
    <w:pPr>
      <w:spacing w:line="240" w:lineRule="auto"/>
    </w:pPr>
    <w:rPr>
      <w:sz w:val="20"/>
      <w:szCs w:val="20"/>
    </w:rPr>
  </w:style>
  <w:style w:type="character" w:customStyle="1" w:styleId="CommentTextChar">
    <w:name w:val="Comment Text Char"/>
    <w:basedOn w:val="DefaultParagraphFont"/>
    <w:link w:val="CommentText"/>
    <w:uiPriority w:val="99"/>
    <w:rsid w:val="001147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470B"/>
    <w:rPr>
      <w:b/>
      <w:bCs/>
    </w:rPr>
  </w:style>
  <w:style w:type="character" w:customStyle="1" w:styleId="CommentSubjectChar">
    <w:name w:val="Comment Subject Char"/>
    <w:basedOn w:val="CommentTextChar"/>
    <w:link w:val="CommentSubject"/>
    <w:uiPriority w:val="99"/>
    <w:semiHidden/>
    <w:rsid w:val="0011470B"/>
    <w:rPr>
      <w:rFonts w:ascii="Arial" w:hAnsi="Arial"/>
      <w:b/>
      <w:bCs/>
      <w:sz w:val="20"/>
      <w:szCs w:val="20"/>
    </w:rPr>
  </w:style>
  <w:style w:type="paragraph" w:styleId="BalloonText">
    <w:name w:val="Balloon Text"/>
    <w:basedOn w:val="Normal"/>
    <w:link w:val="BalloonTextChar"/>
    <w:uiPriority w:val="99"/>
    <w:semiHidden/>
    <w:unhideWhenUsed/>
    <w:rsid w:val="00683A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A7C"/>
    <w:rPr>
      <w:rFonts w:ascii="Segoe UI" w:hAnsi="Segoe UI" w:cs="Segoe UI"/>
      <w:sz w:val="18"/>
      <w:szCs w:val="18"/>
    </w:rPr>
  </w:style>
  <w:style w:type="paragraph" w:styleId="FootnoteText">
    <w:name w:val="footnote text"/>
    <w:basedOn w:val="Normal"/>
    <w:link w:val="FootnoteTextChar"/>
    <w:uiPriority w:val="99"/>
    <w:semiHidden/>
    <w:unhideWhenUsed/>
    <w:rsid w:val="000A53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3C5"/>
    <w:rPr>
      <w:rFonts w:ascii="Arial" w:hAnsi="Arial"/>
      <w:sz w:val="20"/>
      <w:szCs w:val="20"/>
    </w:rPr>
  </w:style>
  <w:style w:type="character" w:styleId="FootnoteReference">
    <w:name w:val="footnote reference"/>
    <w:basedOn w:val="DefaultParagraphFont"/>
    <w:uiPriority w:val="99"/>
    <w:semiHidden/>
    <w:unhideWhenUsed/>
    <w:rsid w:val="000A5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gi-bin/text-idx?node=pt45.1.7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node=pt45.1.7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ACL">
      <a:dk1>
        <a:sysClr val="windowText" lastClr="000000"/>
      </a:dk1>
      <a:lt1>
        <a:sysClr val="window" lastClr="FFFFFF"/>
      </a:lt1>
      <a:dk2>
        <a:srgbClr val="44546A"/>
      </a:dk2>
      <a:lt2>
        <a:srgbClr val="E7E6E6"/>
      </a:lt2>
      <a:accent1>
        <a:srgbClr val="0A5090"/>
      </a:accent1>
      <a:accent2>
        <a:srgbClr val="BE1E2D"/>
      </a:accent2>
      <a:accent3>
        <a:srgbClr val="F9A11B"/>
      </a:accent3>
      <a:accent4>
        <a:srgbClr val="19672A"/>
      </a:accent4>
      <a:accent5>
        <a:srgbClr val="7F7F7F"/>
      </a:accent5>
      <a:accent6>
        <a:srgbClr val="A5A5A5"/>
      </a:accent6>
      <a:hlink>
        <a:srgbClr val="007EBE"/>
      </a:hlink>
      <a:folHlink>
        <a:srgbClr val="6F3B5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cba8d4a1-0a1c-4299-93a5-2682bf5a17ad">false</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EF6404866DB4D9982E0DAD74EB5A5" ma:contentTypeVersion="14" ma:contentTypeDescription="Create a new document." ma:contentTypeScope="" ma:versionID="3f4835c7fd9c92b412be3f1f371bcd3d">
  <xsd:schema xmlns:xsd="http://www.w3.org/2001/XMLSchema" xmlns:xs="http://www.w3.org/2001/XMLSchema" xmlns:p="http://schemas.microsoft.com/office/2006/metadata/properties" xmlns:ns2="9c4568af-78d6-4de7-8a7f-d4a1b22f7f5e" xmlns:ns3="cba8d4a1-0a1c-4299-93a5-2682bf5a17ad" targetNamespace="http://schemas.microsoft.com/office/2006/metadata/properties" ma:root="true" ma:fieldsID="8ee7d375acdf817f48b45adc8155071c" ns2:_="" ns3:_="">
    <xsd:import namespace="9c4568af-78d6-4de7-8a7f-d4a1b22f7f5e"/>
    <xsd:import namespace="cba8d4a1-0a1c-4299-93a5-2682bf5a17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TEST"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568af-78d6-4de7-8a7f-d4a1b22f7f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8d4a1-0a1c-4299-93a5-2682bf5a17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TEST" ma:index="15" nillable="true" ma:displayName="TEST" ma:default="0" ma:internalName="TEST">
      <xsd:simpleType>
        <xsd:restriction base="dms:Boolea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912CE-F396-46BF-B9F6-ADC602567E1E}">
  <ds:schemaRefs>
    <ds:schemaRef ds:uri="http://schemas.microsoft.com/office/2006/metadata/properties"/>
    <ds:schemaRef ds:uri="http://schemas.microsoft.com/office/infopath/2007/PartnerControls"/>
    <ds:schemaRef ds:uri="cba8d4a1-0a1c-4299-93a5-2682bf5a17ad"/>
  </ds:schemaRefs>
</ds:datastoreItem>
</file>

<file path=customXml/itemProps2.xml><?xml version="1.0" encoding="utf-8"?>
<ds:datastoreItem xmlns:ds="http://schemas.openxmlformats.org/officeDocument/2006/customXml" ds:itemID="{303AECD1-E0E9-49D5-B454-2FC987847342}">
  <ds:schemaRefs>
    <ds:schemaRef ds:uri="http://schemas.microsoft.com/sharepoint/v3/contenttype/forms"/>
  </ds:schemaRefs>
</ds:datastoreItem>
</file>

<file path=customXml/itemProps3.xml><?xml version="1.0" encoding="utf-8"?>
<ds:datastoreItem xmlns:ds="http://schemas.openxmlformats.org/officeDocument/2006/customXml" ds:itemID="{8E52A5BB-8720-4A17-B809-2215B48B0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568af-78d6-4de7-8a7f-d4a1b22f7f5e"/>
    <ds:schemaRef ds:uri="cba8d4a1-0a1c-4299-93a5-2682bf5a1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0E57F-6A53-47A6-A2FE-3058563A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ACL@betah.com</dc:creator>
  <cp:keywords/>
  <dc:description/>
  <cp:lastModifiedBy>Johnson, Jennifer (ACL)</cp:lastModifiedBy>
  <cp:revision>2</cp:revision>
  <dcterms:created xsi:type="dcterms:W3CDTF">2021-08-12T20:27:00Z</dcterms:created>
  <dcterms:modified xsi:type="dcterms:W3CDTF">2021-08-12T20:27:00Z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2020-09-16T00:00:00Z</vt:filetime>
  </property>
  <property fmtid="{D5CDD505-2E9C-101B-9397-08002B2CF9AE}" pid="3" name="Created">
    <vt:filetime>2018-07-24T00:00:00Z</vt:filetime>
  </property>
  <property fmtid="{D5CDD505-2E9C-101B-9397-08002B2CF9AE}" pid="4" name="ContentTypeId">
    <vt:lpwstr>0x010100C0BEF6404866DB4D9982E0DAD74EB5A5</vt:lpwstr>
  </property>
  <property fmtid="{D5CDD505-2E9C-101B-9397-08002B2CF9AE}" pid="5" name="Creator">
    <vt:lpwstr>Adobe InDesign CC 13.0 (Macintosh)</vt:lpwstr>
  </property>
</Properties>
</file>