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BE9BB3" w14:textId="77777777" w:rsidR="00A67859" w:rsidRPr="008E6C3C" w:rsidRDefault="00F36421" w:rsidP="008E6C3C">
      <w:pPr>
        <w:pStyle w:val="Title"/>
      </w:pPr>
      <w:bookmarkStart w:id="0" w:name="_Toc346626450"/>
      <w:bookmarkStart w:id="1" w:name="_Toc352773203"/>
      <w:bookmarkStart w:id="2" w:name="_Toc352773466"/>
      <w:bookmarkStart w:id="3" w:name="_Toc352773566"/>
      <w:bookmarkStart w:id="4" w:name="_Toc352773670"/>
      <w:bookmarkStart w:id="5" w:name="_Toc354056799"/>
      <w:bookmarkStart w:id="6" w:name="_Toc354061106"/>
      <w:bookmarkStart w:id="7" w:name="_Toc361137631"/>
      <w:bookmarkStart w:id="8" w:name="_Toc306027032"/>
      <w:r w:rsidRPr="008E6C3C">
        <w:t>IL</w:t>
      </w:r>
      <w:r w:rsidR="000343A9" w:rsidRPr="008E6C3C">
        <w:t>-</w:t>
      </w:r>
      <w:r w:rsidRPr="008E6C3C">
        <w:t xml:space="preserve">NET </w:t>
      </w:r>
      <w:bookmarkStart w:id="9" w:name="_Toc346626451"/>
      <w:bookmarkEnd w:id="0"/>
      <w:r w:rsidRPr="008E6C3C">
        <w:t xml:space="preserve">Sample </w:t>
      </w:r>
      <w:r w:rsidR="00157235" w:rsidRPr="008E6C3C">
        <w:t>FISCAL POLICIES</w:t>
      </w:r>
      <w:bookmarkStart w:id="10" w:name="_Toc346626452"/>
      <w:bookmarkEnd w:id="9"/>
      <w:r w:rsidR="001049D9" w:rsidRPr="008E6C3C">
        <w:t xml:space="preserve"> </w:t>
      </w:r>
      <w:r w:rsidR="00157235" w:rsidRPr="008E6C3C">
        <w:t xml:space="preserve">AND </w:t>
      </w:r>
      <w:r w:rsidR="00E2753F" w:rsidRPr="008E6C3C">
        <w:t>PROC</w:t>
      </w:r>
      <w:r w:rsidR="00157235" w:rsidRPr="008E6C3C">
        <w:t>EDURES</w:t>
      </w:r>
      <w:bookmarkStart w:id="11" w:name="_Toc346626453"/>
      <w:bookmarkEnd w:id="10"/>
      <w:r w:rsidR="001049D9" w:rsidRPr="008E6C3C">
        <w:t xml:space="preserve"> </w:t>
      </w:r>
      <w:r w:rsidR="00486314" w:rsidRPr="008E6C3C">
        <w:t>HANDBOOK</w:t>
      </w:r>
      <w:bookmarkEnd w:id="1"/>
      <w:bookmarkEnd w:id="2"/>
      <w:bookmarkEnd w:id="3"/>
      <w:bookmarkEnd w:id="4"/>
      <w:bookmarkEnd w:id="5"/>
      <w:bookmarkEnd w:id="6"/>
      <w:bookmarkEnd w:id="7"/>
      <w:bookmarkEnd w:id="11"/>
    </w:p>
    <w:p w14:paraId="38680456" w14:textId="41E57A51" w:rsidR="00486314" w:rsidRPr="008E6C3C" w:rsidRDefault="00E22823" w:rsidP="00727732">
      <w:pPr>
        <w:pStyle w:val="CoverTitle"/>
      </w:pPr>
      <w:bookmarkStart w:id="12" w:name="_Toc346626454"/>
      <w:bookmarkStart w:id="13" w:name="_Toc352773204"/>
      <w:bookmarkStart w:id="14" w:name="_Toc352773467"/>
      <w:bookmarkStart w:id="15" w:name="_Toc352773567"/>
      <w:bookmarkStart w:id="16" w:name="_Toc352773671"/>
      <w:bookmarkStart w:id="17" w:name="_Toc354056800"/>
      <w:bookmarkStart w:id="18" w:name="_Toc354061107"/>
      <w:bookmarkStart w:id="19" w:name="_Toc361137632"/>
      <w:r w:rsidRPr="008E6C3C">
        <w:t xml:space="preserve">A </w:t>
      </w:r>
      <w:r w:rsidR="00F66A66" w:rsidRPr="008E6C3C">
        <w:t xml:space="preserve">Set of </w:t>
      </w:r>
      <w:r w:rsidRPr="008E6C3C">
        <w:t xml:space="preserve">Policies and Procedures </w:t>
      </w:r>
      <w:r w:rsidR="00F66A66" w:rsidRPr="008E6C3C">
        <w:t xml:space="preserve">with Annotations </w:t>
      </w:r>
      <w:r w:rsidRPr="008E6C3C">
        <w:t xml:space="preserve">for Use in Training </w:t>
      </w:r>
      <w:r w:rsidR="00C25B50" w:rsidRPr="008E6C3C">
        <w:t xml:space="preserve">for </w:t>
      </w:r>
      <w:r w:rsidR="00E2753F" w:rsidRPr="008E6C3C">
        <w:t>Centers for Independent Living</w:t>
      </w:r>
      <w:bookmarkEnd w:id="12"/>
      <w:bookmarkEnd w:id="13"/>
      <w:bookmarkEnd w:id="14"/>
      <w:bookmarkEnd w:id="15"/>
      <w:bookmarkEnd w:id="16"/>
      <w:bookmarkEnd w:id="17"/>
      <w:bookmarkEnd w:id="18"/>
      <w:bookmarkEnd w:id="19"/>
    </w:p>
    <w:p w14:paraId="1B924899" w14:textId="77777777" w:rsidR="00090DC8" w:rsidRPr="008C3C7B" w:rsidRDefault="00D94345" w:rsidP="008C3C7B">
      <w:pPr>
        <w:pStyle w:val="Subtitle"/>
      </w:pPr>
      <w:r w:rsidRPr="008C3C7B">
        <w:t xml:space="preserve">Prepared By </w:t>
      </w:r>
    </w:p>
    <w:p w14:paraId="5222F1D3" w14:textId="55F7E0E2" w:rsidR="000F0EE7" w:rsidRPr="008C3C7B" w:rsidRDefault="00D94345" w:rsidP="008C3C7B">
      <w:pPr>
        <w:pStyle w:val="Subtitle2"/>
      </w:pPr>
      <w:r w:rsidRPr="008C3C7B">
        <w:t>John F. Heveron Jr., CPA</w:t>
      </w:r>
    </w:p>
    <w:p w14:paraId="1ECE8EF2" w14:textId="6937C0F3" w:rsidR="00090DC8" w:rsidRPr="008C3C7B" w:rsidRDefault="00090DC8" w:rsidP="008C3C7B">
      <w:pPr>
        <w:pStyle w:val="Subtitle2"/>
      </w:pPr>
      <w:r w:rsidRPr="008C3C7B">
        <w:t>Paula L. McElwee</w:t>
      </w:r>
    </w:p>
    <w:p w14:paraId="1593FC03" w14:textId="556338BA" w:rsidR="00090DC8" w:rsidRPr="008C3C7B" w:rsidRDefault="00090DC8" w:rsidP="008C3C7B">
      <w:pPr>
        <w:pStyle w:val="Subtitle2"/>
      </w:pPr>
      <w:r w:rsidRPr="008C3C7B">
        <w:t>Richard Petty</w:t>
      </w:r>
    </w:p>
    <w:p w14:paraId="1AF21D85" w14:textId="5A84275D" w:rsidR="00090DC8" w:rsidRPr="008C3C7B" w:rsidRDefault="00090DC8" w:rsidP="008C3C7B">
      <w:pPr>
        <w:pStyle w:val="Subtitle2"/>
      </w:pPr>
      <w:r w:rsidRPr="008C3C7B">
        <w:t>Darrell Lynn Jones</w:t>
      </w:r>
    </w:p>
    <w:p w14:paraId="21A3FDDA" w14:textId="77777777" w:rsidR="00592CD0" w:rsidRDefault="00551882" w:rsidP="00592CD0">
      <w:pPr>
        <w:pStyle w:val="Subtitle"/>
        <w:sectPr w:rsidR="00592CD0" w:rsidSect="00592CD0">
          <w:footerReference w:type="even" r:id="rId8"/>
          <w:footerReference w:type="default" r:id="rId9"/>
          <w:pgSz w:w="12240" w:h="15840"/>
          <w:pgMar w:top="1440" w:right="1440" w:bottom="720" w:left="1440" w:header="720" w:footer="288" w:gutter="0"/>
          <w:cols w:space="720"/>
          <w:vAlign w:val="center"/>
          <w:noEndnote/>
          <w:titlePg/>
          <w:docGrid w:linePitch="326"/>
        </w:sectPr>
      </w:pPr>
      <w:r>
        <w:rPr>
          <w:noProof/>
        </w:rPr>
        <w:drawing>
          <wp:inline distT="0" distB="0" distL="0" distR="0" wp14:anchorId="097088DD" wp14:editId="5B0EE0FB">
            <wp:extent cx="2667000" cy="1590675"/>
            <wp:effectExtent l="0" t="0" r="0" b="9525"/>
            <wp:docPr id="1" name="Picture 1" descr="IL-NET Logo" title="IL-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NETLogoPRIN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5568" cy="1595785"/>
                    </a:xfrm>
                    <a:prstGeom prst="rect">
                      <a:avLst/>
                    </a:prstGeom>
                  </pic:spPr>
                </pic:pic>
              </a:graphicData>
            </a:graphic>
          </wp:inline>
        </w:drawing>
      </w:r>
    </w:p>
    <w:p w14:paraId="2B4E51A3" w14:textId="43F4CEFA" w:rsidR="004D541D" w:rsidRPr="00CD491A" w:rsidRDefault="004D541D" w:rsidP="00592CD0">
      <w:pPr>
        <w:pStyle w:val="copyright"/>
      </w:pPr>
      <w:r w:rsidRPr="00CD491A">
        <w:lastRenderedPageBreak/>
        <w:t xml:space="preserve">© </w:t>
      </w:r>
      <w:r w:rsidR="00776F73">
        <w:t xml:space="preserve">April 2013, revised </w:t>
      </w:r>
      <w:r w:rsidR="005F08E3" w:rsidRPr="008E6C3C">
        <w:t>April 2016</w:t>
      </w:r>
    </w:p>
    <w:p w14:paraId="769EB1F4" w14:textId="77777777" w:rsidR="004D541D" w:rsidRPr="00CD491A" w:rsidRDefault="004D541D" w:rsidP="004D541D">
      <w:pPr>
        <w:pStyle w:val="copyright"/>
      </w:pPr>
      <w:r w:rsidRPr="00CD491A">
        <w:t>Independent Living Research Utilization</w:t>
      </w:r>
    </w:p>
    <w:p w14:paraId="7966C02E" w14:textId="77777777" w:rsidR="00776F73" w:rsidRPr="00CD491A" w:rsidRDefault="00776F73" w:rsidP="00776F73">
      <w:pPr>
        <w:pStyle w:val="copyright"/>
      </w:pPr>
      <w:r>
        <w:t>1333 Moursund</w:t>
      </w:r>
    </w:p>
    <w:p w14:paraId="75E792C7" w14:textId="77777777" w:rsidR="00776F73" w:rsidRPr="00CD491A" w:rsidRDefault="00776F73" w:rsidP="00776F73">
      <w:pPr>
        <w:pStyle w:val="copyright"/>
      </w:pPr>
      <w:r w:rsidRPr="00CD491A">
        <w:t>Houston, TX 770</w:t>
      </w:r>
      <w:r>
        <w:t>30</w:t>
      </w:r>
    </w:p>
    <w:p w14:paraId="5728A9F0" w14:textId="77777777" w:rsidR="004D541D" w:rsidRPr="00CD491A" w:rsidRDefault="004D541D" w:rsidP="004D541D">
      <w:pPr>
        <w:pStyle w:val="copyright"/>
      </w:pPr>
      <w:r w:rsidRPr="00CD491A">
        <w:t>713.520.0232 (Voice and TTY)</w:t>
      </w:r>
    </w:p>
    <w:p w14:paraId="4E0C3594" w14:textId="77777777" w:rsidR="004D541D" w:rsidRPr="00CD491A" w:rsidRDefault="004D541D" w:rsidP="004D541D">
      <w:pPr>
        <w:pStyle w:val="copyright"/>
      </w:pPr>
      <w:r w:rsidRPr="00CD491A">
        <w:t>713.520.5785 (Fax)</w:t>
      </w:r>
    </w:p>
    <w:p w14:paraId="45703CFE" w14:textId="77777777" w:rsidR="004D541D" w:rsidRDefault="00472094" w:rsidP="004D541D">
      <w:pPr>
        <w:pStyle w:val="copyright"/>
      </w:pPr>
      <w:hyperlink r:id="rId11" w:history="1">
        <w:r w:rsidR="003E45DA" w:rsidRPr="00C50759">
          <w:rPr>
            <w:rStyle w:val="Hyperlink"/>
          </w:rPr>
          <w:t>http://www.ilru.org</w:t>
        </w:r>
      </w:hyperlink>
      <w:r w:rsidR="003E45DA">
        <w:t xml:space="preserve"> </w:t>
      </w:r>
    </w:p>
    <w:p w14:paraId="7DE0A806" w14:textId="65EF6824" w:rsidR="00A67859" w:rsidRDefault="004D541D" w:rsidP="00952C26">
      <w:pPr>
        <w:pStyle w:val="copyright"/>
      </w:pPr>
      <w:r w:rsidRPr="00CD491A">
        <w:t>ILRU is a program of TIRR Memorial Hermann</w:t>
      </w:r>
    </w:p>
    <w:p w14:paraId="2E9AE086" w14:textId="5AFE9751" w:rsidR="004D541D" w:rsidRDefault="00090DC8" w:rsidP="00FC5C4C">
      <w:pPr>
        <w:pStyle w:val="copyrightcenterofpage"/>
      </w:pPr>
      <w:r w:rsidRPr="008E6C3C">
        <w:rPr>
          <w:rStyle w:val="EmphasisBold"/>
        </w:rPr>
        <w:t>IL-NET Project Director and Editor:</w:t>
      </w:r>
      <w:r w:rsidR="004D541D" w:rsidRPr="00CD491A">
        <w:t xml:space="preserve"> </w:t>
      </w:r>
      <w:r w:rsidR="005F08E3">
        <w:t>Darrell Lynn Jones</w:t>
      </w:r>
    </w:p>
    <w:p w14:paraId="63B94BC9" w14:textId="77777777" w:rsidR="004D541D" w:rsidRDefault="004D541D" w:rsidP="00FC5C4C">
      <w:pPr>
        <w:pStyle w:val="copyrightcenterofpage"/>
      </w:pPr>
      <w:r w:rsidRPr="008E6C3C">
        <w:rPr>
          <w:rStyle w:val="EmphasisBold"/>
        </w:rPr>
        <w:t>Publications Staff:</w:t>
      </w:r>
      <w:r w:rsidRPr="00CD491A">
        <w:t xml:space="preserve"> Dawn Heinsohn and Sharon Finney</w:t>
      </w:r>
    </w:p>
    <w:p w14:paraId="2932B421" w14:textId="370FC8EF" w:rsidR="00776F73" w:rsidRPr="00B14A79" w:rsidRDefault="00776F73" w:rsidP="00FC6DA2">
      <w:pPr>
        <w:pStyle w:val="copyrightcenterofpage"/>
      </w:pPr>
      <w:r w:rsidRPr="008E6C3C">
        <w:rPr>
          <w:rStyle w:val="EmphasisBold"/>
        </w:rPr>
        <w:t>Individualized Technical Assistance:</w:t>
      </w:r>
      <w:r>
        <w:t xml:space="preserve"> Free, timely, and individualized technical assistance is available to you and your center or SILC as a service of the IL-NET. Email Paula McElwee, IL-NET Technical Assistance Coordinator at paulamcelwee-ilru@yahoo.com.</w:t>
      </w:r>
    </w:p>
    <w:p w14:paraId="569D51C8" w14:textId="2A20E772" w:rsidR="009868EE" w:rsidRDefault="00952C26" w:rsidP="0024455D">
      <w:pPr>
        <w:pStyle w:val="copyrightbottomofpage"/>
      </w:pPr>
      <w:r>
        <w:t>S</w:t>
      </w:r>
      <w:r w:rsidR="004D541D" w:rsidRPr="00CD491A">
        <w:t xml:space="preserve">upport for development of this publication </w:t>
      </w:r>
      <w:r w:rsidR="0024455D">
        <w:t xml:space="preserve">(formerly titled </w:t>
      </w:r>
      <w:r w:rsidR="0024455D" w:rsidRPr="0024455D">
        <w:rPr>
          <w:rStyle w:val="Emphasis"/>
        </w:rPr>
        <w:t>IL-NET Sample FISCAL POLICIES AND PROCEDURES HANDBOOK: An Annotated Example Set of Policies and Procedures for Use in Training for Centers for Independent Living</w:t>
      </w:r>
      <w:r w:rsidR="0024455D">
        <w:t xml:space="preserve">) </w:t>
      </w:r>
      <w:r w:rsidR="004D541D" w:rsidRPr="00CD491A">
        <w:t xml:space="preserve">was provided by the U.S. Department of Education, Rehabilitation Services Administration under grant number </w:t>
      </w:r>
      <w:r w:rsidR="00CE0277" w:rsidRPr="00CE0277">
        <w:t>H132B120001</w:t>
      </w:r>
      <w:r w:rsidR="00090DC8">
        <w:t xml:space="preserve"> and the U.S. Department of Health and Human Services, Administration for Community Living under grant number 90TT0001-02-00</w:t>
      </w:r>
      <w:r w:rsidR="004D541D" w:rsidRPr="00CD491A">
        <w:t xml:space="preserve">. No official </w:t>
      </w:r>
      <w:r w:rsidR="00A964C2">
        <w:t xml:space="preserve">endorsement of the funders </w:t>
      </w:r>
      <w:r w:rsidR="004D541D" w:rsidRPr="00CD491A">
        <w:t xml:space="preserve">should be inferred. Permission is granted for duplication of any portion of this manual, providing that the following credit is given to the project: </w:t>
      </w:r>
      <w:r w:rsidR="004D541D" w:rsidRPr="00F2045B">
        <w:rPr>
          <w:rStyle w:val="EmphasisItalicBold"/>
        </w:rPr>
        <w:t>Developed as part of t</w:t>
      </w:r>
      <w:r w:rsidR="00CE0277">
        <w:rPr>
          <w:rStyle w:val="EmphasisItalicBold"/>
        </w:rPr>
        <w:t>he CIL-NET, a program of the IL-</w:t>
      </w:r>
      <w:r w:rsidR="004D541D" w:rsidRPr="00F2045B">
        <w:rPr>
          <w:rStyle w:val="EmphasisItalicBold"/>
        </w:rPr>
        <w:t>NET, an ILRU/NCIL/APRIL National Training and Technical Assistance Project.</w:t>
      </w:r>
      <w:r w:rsidR="006F2654">
        <w:rPr>
          <w:rStyle w:val="EmphasisItalicBold"/>
        </w:rPr>
        <w:t xml:space="preserve"> </w:t>
      </w:r>
      <w:r w:rsidR="006F2654" w:rsidRPr="008E6C3C">
        <w:rPr>
          <w:rStyle w:val="BodyTextChar"/>
        </w:rPr>
        <w:t xml:space="preserve">To ensure that the reader has the most current version of this Handbook, it will be updated as needed and available electronically at </w:t>
      </w:r>
      <w:hyperlink r:id="rId12" w:history="1">
        <w:r w:rsidR="003A197B" w:rsidRPr="0097253D">
          <w:rPr>
            <w:rStyle w:val="Hyperlink"/>
          </w:rPr>
          <w:t>http://www.ilru.org/topics/cil-financial-management</w:t>
        </w:r>
      </w:hyperlink>
      <w:r w:rsidR="003A197B">
        <w:rPr>
          <w:rStyle w:val="BodyTextChar"/>
        </w:rPr>
        <w:t xml:space="preserve">. </w:t>
      </w:r>
    </w:p>
    <w:p w14:paraId="6BBA08CE" w14:textId="77777777" w:rsidR="009868EE" w:rsidRDefault="009868EE">
      <w:pPr>
        <w:rPr>
          <w:rFonts w:ascii="Arial" w:eastAsia="Calibri" w:hAnsi="Arial"/>
          <w:szCs w:val="28"/>
          <w:lang w:bidi="ar-SA"/>
        </w:rPr>
      </w:pPr>
      <w:r>
        <w:br w:type="page"/>
      </w:r>
    </w:p>
    <w:p w14:paraId="13FE3EBE" w14:textId="77777777" w:rsidR="00390DC3" w:rsidRDefault="000075BC" w:rsidP="009868EE">
      <w:pPr>
        <w:pStyle w:val="TOCHeading"/>
        <w:rPr>
          <w:noProof/>
        </w:rPr>
      </w:pPr>
      <w:r>
        <w:lastRenderedPageBreak/>
        <w:t>T</w:t>
      </w:r>
      <w:bookmarkStart w:id="20" w:name="_Toc346697344"/>
      <w:r w:rsidR="005E1CD9">
        <w:t>able of Content</w:t>
      </w:r>
      <w:bookmarkEnd w:id="20"/>
      <w:r w:rsidR="004F78E6">
        <w:t>s</w:t>
      </w:r>
      <w:bookmarkStart w:id="21" w:name="_Toc347934412"/>
      <w:r w:rsidR="009868EE">
        <w:fldChar w:fldCharType="begin"/>
      </w:r>
      <w:r w:rsidR="009868EE">
        <w:instrText xml:space="preserve"> TOC \o "2-3" \h \z \t "Heading 1,1" </w:instrText>
      </w:r>
      <w:r w:rsidR="009868EE">
        <w:fldChar w:fldCharType="separate"/>
      </w:r>
    </w:p>
    <w:p w14:paraId="1BB9B413" w14:textId="77777777" w:rsidR="00390DC3" w:rsidRDefault="00472094">
      <w:pPr>
        <w:pStyle w:val="TOC1"/>
        <w:rPr>
          <w:rFonts w:asciiTheme="minorHAnsi" w:eastAsiaTheme="minorEastAsia" w:hAnsiTheme="minorHAnsi" w:cstheme="minorBidi"/>
          <w:noProof/>
          <w:sz w:val="22"/>
          <w:szCs w:val="22"/>
        </w:rPr>
      </w:pPr>
      <w:hyperlink w:anchor="_Toc448404197" w:history="1">
        <w:r w:rsidR="00390DC3" w:rsidRPr="008A5B44">
          <w:rPr>
            <w:rStyle w:val="Hyperlink"/>
            <w:noProof/>
          </w:rPr>
          <w:t>Acknowledgements</w:t>
        </w:r>
        <w:r w:rsidR="00390DC3">
          <w:rPr>
            <w:noProof/>
            <w:webHidden/>
          </w:rPr>
          <w:tab/>
        </w:r>
        <w:r w:rsidR="00390DC3">
          <w:rPr>
            <w:noProof/>
            <w:webHidden/>
          </w:rPr>
          <w:fldChar w:fldCharType="begin"/>
        </w:r>
        <w:r w:rsidR="00390DC3">
          <w:rPr>
            <w:noProof/>
            <w:webHidden/>
          </w:rPr>
          <w:instrText xml:space="preserve"> PAGEREF _Toc448404197 \h </w:instrText>
        </w:r>
        <w:r w:rsidR="00390DC3">
          <w:rPr>
            <w:noProof/>
            <w:webHidden/>
          </w:rPr>
        </w:r>
        <w:r w:rsidR="00390DC3">
          <w:rPr>
            <w:noProof/>
            <w:webHidden/>
          </w:rPr>
          <w:fldChar w:fldCharType="separate"/>
        </w:r>
        <w:r w:rsidR="006222A3">
          <w:rPr>
            <w:noProof/>
            <w:webHidden/>
          </w:rPr>
          <w:t>v</w:t>
        </w:r>
        <w:r w:rsidR="00390DC3">
          <w:rPr>
            <w:noProof/>
            <w:webHidden/>
          </w:rPr>
          <w:fldChar w:fldCharType="end"/>
        </w:r>
      </w:hyperlink>
    </w:p>
    <w:p w14:paraId="3E3E0775" w14:textId="77777777" w:rsidR="00390DC3" w:rsidRDefault="00472094">
      <w:pPr>
        <w:pStyle w:val="TOC1"/>
        <w:rPr>
          <w:rFonts w:asciiTheme="minorHAnsi" w:eastAsiaTheme="minorEastAsia" w:hAnsiTheme="minorHAnsi" w:cstheme="minorBidi"/>
          <w:noProof/>
          <w:sz w:val="22"/>
          <w:szCs w:val="22"/>
        </w:rPr>
      </w:pPr>
      <w:hyperlink w:anchor="_Toc448404198" w:history="1">
        <w:r w:rsidR="00390DC3" w:rsidRPr="008A5B44">
          <w:rPr>
            <w:rStyle w:val="Hyperlink"/>
            <w:noProof/>
          </w:rPr>
          <w:t>Preface</w:t>
        </w:r>
        <w:r w:rsidR="00390DC3">
          <w:rPr>
            <w:noProof/>
            <w:webHidden/>
          </w:rPr>
          <w:tab/>
        </w:r>
        <w:r w:rsidR="00390DC3">
          <w:rPr>
            <w:noProof/>
            <w:webHidden/>
          </w:rPr>
          <w:fldChar w:fldCharType="begin"/>
        </w:r>
        <w:r w:rsidR="00390DC3">
          <w:rPr>
            <w:noProof/>
            <w:webHidden/>
          </w:rPr>
          <w:instrText xml:space="preserve"> PAGEREF _Toc448404198 \h </w:instrText>
        </w:r>
        <w:r w:rsidR="00390DC3">
          <w:rPr>
            <w:noProof/>
            <w:webHidden/>
          </w:rPr>
        </w:r>
        <w:r w:rsidR="00390DC3">
          <w:rPr>
            <w:noProof/>
            <w:webHidden/>
          </w:rPr>
          <w:fldChar w:fldCharType="separate"/>
        </w:r>
        <w:r w:rsidR="006222A3">
          <w:rPr>
            <w:noProof/>
            <w:webHidden/>
          </w:rPr>
          <w:t>vii</w:t>
        </w:r>
        <w:r w:rsidR="00390DC3">
          <w:rPr>
            <w:noProof/>
            <w:webHidden/>
          </w:rPr>
          <w:fldChar w:fldCharType="end"/>
        </w:r>
      </w:hyperlink>
    </w:p>
    <w:p w14:paraId="6CB0E313" w14:textId="77777777" w:rsidR="00390DC3" w:rsidRDefault="00472094">
      <w:pPr>
        <w:pStyle w:val="TOC1"/>
        <w:rPr>
          <w:rFonts w:asciiTheme="minorHAnsi" w:eastAsiaTheme="minorEastAsia" w:hAnsiTheme="minorHAnsi" w:cstheme="minorBidi"/>
          <w:noProof/>
          <w:sz w:val="22"/>
          <w:szCs w:val="22"/>
        </w:rPr>
      </w:pPr>
      <w:hyperlink w:anchor="_Toc448404199" w:history="1">
        <w:r w:rsidR="00390DC3" w:rsidRPr="008A5B44">
          <w:rPr>
            <w:rStyle w:val="Hyperlink"/>
            <w:noProof/>
          </w:rPr>
          <w:t>How to Use This Guide</w:t>
        </w:r>
        <w:r w:rsidR="00390DC3">
          <w:rPr>
            <w:noProof/>
            <w:webHidden/>
          </w:rPr>
          <w:tab/>
        </w:r>
        <w:r w:rsidR="00390DC3">
          <w:rPr>
            <w:noProof/>
            <w:webHidden/>
          </w:rPr>
          <w:fldChar w:fldCharType="begin"/>
        </w:r>
        <w:r w:rsidR="00390DC3">
          <w:rPr>
            <w:noProof/>
            <w:webHidden/>
          </w:rPr>
          <w:instrText xml:space="preserve"> PAGEREF _Toc448404199 \h </w:instrText>
        </w:r>
        <w:r w:rsidR="00390DC3">
          <w:rPr>
            <w:noProof/>
            <w:webHidden/>
          </w:rPr>
        </w:r>
        <w:r w:rsidR="00390DC3">
          <w:rPr>
            <w:noProof/>
            <w:webHidden/>
          </w:rPr>
          <w:fldChar w:fldCharType="separate"/>
        </w:r>
        <w:r w:rsidR="006222A3">
          <w:rPr>
            <w:noProof/>
            <w:webHidden/>
          </w:rPr>
          <w:t>ix</w:t>
        </w:r>
        <w:r w:rsidR="00390DC3">
          <w:rPr>
            <w:noProof/>
            <w:webHidden/>
          </w:rPr>
          <w:fldChar w:fldCharType="end"/>
        </w:r>
      </w:hyperlink>
    </w:p>
    <w:p w14:paraId="59044C5B" w14:textId="77777777" w:rsidR="00390DC3" w:rsidRDefault="00472094">
      <w:pPr>
        <w:pStyle w:val="TOC2"/>
        <w:rPr>
          <w:rFonts w:asciiTheme="minorHAnsi" w:eastAsiaTheme="minorEastAsia" w:hAnsiTheme="minorHAnsi" w:cstheme="minorBidi"/>
          <w:noProof/>
          <w:sz w:val="22"/>
          <w:szCs w:val="22"/>
        </w:rPr>
      </w:pPr>
      <w:hyperlink w:anchor="_Toc448404200" w:history="1">
        <w:r w:rsidR="00390DC3" w:rsidRPr="008A5B44">
          <w:rPr>
            <w:rStyle w:val="Hyperlink"/>
            <w:noProof/>
          </w:rPr>
          <w:t>Modify These Examples to Fit Your CIL</w:t>
        </w:r>
        <w:r w:rsidR="00390DC3">
          <w:rPr>
            <w:noProof/>
            <w:webHidden/>
          </w:rPr>
          <w:tab/>
        </w:r>
        <w:r w:rsidR="00390DC3">
          <w:rPr>
            <w:noProof/>
            <w:webHidden/>
          </w:rPr>
          <w:fldChar w:fldCharType="begin"/>
        </w:r>
        <w:r w:rsidR="00390DC3">
          <w:rPr>
            <w:noProof/>
            <w:webHidden/>
          </w:rPr>
          <w:instrText xml:space="preserve"> PAGEREF _Toc448404200 \h </w:instrText>
        </w:r>
        <w:r w:rsidR="00390DC3">
          <w:rPr>
            <w:noProof/>
            <w:webHidden/>
          </w:rPr>
        </w:r>
        <w:r w:rsidR="00390DC3">
          <w:rPr>
            <w:noProof/>
            <w:webHidden/>
          </w:rPr>
          <w:fldChar w:fldCharType="separate"/>
        </w:r>
        <w:r w:rsidR="006222A3">
          <w:rPr>
            <w:noProof/>
            <w:webHidden/>
          </w:rPr>
          <w:t>ix</w:t>
        </w:r>
        <w:r w:rsidR="00390DC3">
          <w:rPr>
            <w:noProof/>
            <w:webHidden/>
          </w:rPr>
          <w:fldChar w:fldCharType="end"/>
        </w:r>
      </w:hyperlink>
    </w:p>
    <w:p w14:paraId="14F23406" w14:textId="77777777" w:rsidR="00390DC3" w:rsidRDefault="00472094">
      <w:pPr>
        <w:pStyle w:val="TOC2"/>
        <w:rPr>
          <w:rFonts w:asciiTheme="minorHAnsi" w:eastAsiaTheme="minorEastAsia" w:hAnsiTheme="minorHAnsi" w:cstheme="minorBidi"/>
          <w:noProof/>
          <w:sz w:val="22"/>
          <w:szCs w:val="22"/>
        </w:rPr>
      </w:pPr>
      <w:hyperlink w:anchor="_Toc448404201" w:history="1">
        <w:r w:rsidR="00390DC3" w:rsidRPr="008A5B44">
          <w:rPr>
            <w:rStyle w:val="Hyperlink"/>
            <w:noProof/>
          </w:rPr>
          <w:t>Recommendations for Developing Policies and Maintaining a Policy Manual</w:t>
        </w:r>
        <w:r w:rsidR="00390DC3">
          <w:rPr>
            <w:noProof/>
            <w:webHidden/>
          </w:rPr>
          <w:tab/>
        </w:r>
        <w:r w:rsidR="00390DC3">
          <w:rPr>
            <w:noProof/>
            <w:webHidden/>
          </w:rPr>
          <w:fldChar w:fldCharType="begin"/>
        </w:r>
        <w:r w:rsidR="00390DC3">
          <w:rPr>
            <w:noProof/>
            <w:webHidden/>
          </w:rPr>
          <w:instrText xml:space="preserve"> PAGEREF _Toc448404201 \h </w:instrText>
        </w:r>
        <w:r w:rsidR="00390DC3">
          <w:rPr>
            <w:noProof/>
            <w:webHidden/>
          </w:rPr>
        </w:r>
        <w:r w:rsidR="00390DC3">
          <w:rPr>
            <w:noProof/>
            <w:webHidden/>
          </w:rPr>
          <w:fldChar w:fldCharType="separate"/>
        </w:r>
        <w:r w:rsidR="006222A3">
          <w:rPr>
            <w:noProof/>
            <w:webHidden/>
          </w:rPr>
          <w:t>ix</w:t>
        </w:r>
        <w:r w:rsidR="00390DC3">
          <w:rPr>
            <w:noProof/>
            <w:webHidden/>
          </w:rPr>
          <w:fldChar w:fldCharType="end"/>
        </w:r>
      </w:hyperlink>
    </w:p>
    <w:p w14:paraId="2AC2926A" w14:textId="77777777" w:rsidR="00390DC3" w:rsidRDefault="00472094">
      <w:pPr>
        <w:pStyle w:val="TOC2"/>
        <w:rPr>
          <w:rFonts w:asciiTheme="minorHAnsi" w:eastAsiaTheme="minorEastAsia" w:hAnsiTheme="minorHAnsi" w:cstheme="minorBidi"/>
          <w:noProof/>
          <w:sz w:val="22"/>
          <w:szCs w:val="22"/>
        </w:rPr>
      </w:pPr>
      <w:hyperlink w:anchor="_Toc448404202" w:history="1">
        <w:r w:rsidR="00390DC3" w:rsidRPr="008A5B44">
          <w:rPr>
            <w:rStyle w:val="Hyperlink"/>
            <w:noProof/>
          </w:rPr>
          <w:t>Additional Resources</w:t>
        </w:r>
        <w:r w:rsidR="00390DC3">
          <w:rPr>
            <w:noProof/>
            <w:webHidden/>
          </w:rPr>
          <w:tab/>
        </w:r>
        <w:r w:rsidR="00390DC3">
          <w:rPr>
            <w:noProof/>
            <w:webHidden/>
          </w:rPr>
          <w:fldChar w:fldCharType="begin"/>
        </w:r>
        <w:r w:rsidR="00390DC3">
          <w:rPr>
            <w:noProof/>
            <w:webHidden/>
          </w:rPr>
          <w:instrText xml:space="preserve"> PAGEREF _Toc448404202 \h </w:instrText>
        </w:r>
        <w:r w:rsidR="00390DC3">
          <w:rPr>
            <w:noProof/>
            <w:webHidden/>
          </w:rPr>
        </w:r>
        <w:r w:rsidR="00390DC3">
          <w:rPr>
            <w:noProof/>
            <w:webHidden/>
          </w:rPr>
          <w:fldChar w:fldCharType="separate"/>
        </w:r>
        <w:r w:rsidR="006222A3">
          <w:rPr>
            <w:noProof/>
            <w:webHidden/>
          </w:rPr>
          <w:t>x</w:t>
        </w:r>
        <w:r w:rsidR="00390DC3">
          <w:rPr>
            <w:noProof/>
            <w:webHidden/>
          </w:rPr>
          <w:fldChar w:fldCharType="end"/>
        </w:r>
      </w:hyperlink>
    </w:p>
    <w:p w14:paraId="0577A3E2" w14:textId="77777777" w:rsidR="00390DC3" w:rsidRDefault="00472094">
      <w:pPr>
        <w:pStyle w:val="TOC1"/>
        <w:rPr>
          <w:rFonts w:asciiTheme="minorHAnsi" w:eastAsiaTheme="minorEastAsia" w:hAnsiTheme="minorHAnsi" w:cstheme="minorBidi"/>
          <w:noProof/>
          <w:sz w:val="22"/>
          <w:szCs w:val="22"/>
        </w:rPr>
      </w:pPr>
      <w:hyperlink w:anchor="_Toc448404203" w:history="1">
        <w:r w:rsidR="00390DC3" w:rsidRPr="008A5B44">
          <w:rPr>
            <w:rStyle w:val="Hyperlink"/>
            <w:noProof/>
          </w:rPr>
          <w:t>Example Fiscal Policies and Procedures  Handbook for PENN CIL (a Fictional CIL)</w:t>
        </w:r>
        <w:r w:rsidR="00390DC3">
          <w:rPr>
            <w:noProof/>
            <w:webHidden/>
          </w:rPr>
          <w:tab/>
        </w:r>
        <w:r w:rsidR="00390DC3">
          <w:rPr>
            <w:noProof/>
            <w:webHidden/>
          </w:rPr>
          <w:fldChar w:fldCharType="begin"/>
        </w:r>
        <w:r w:rsidR="00390DC3">
          <w:rPr>
            <w:noProof/>
            <w:webHidden/>
          </w:rPr>
          <w:instrText xml:space="preserve"> PAGEREF _Toc448404203 \h </w:instrText>
        </w:r>
        <w:r w:rsidR="00390DC3">
          <w:rPr>
            <w:noProof/>
            <w:webHidden/>
          </w:rPr>
        </w:r>
        <w:r w:rsidR="00390DC3">
          <w:rPr>
            <w:noProof/>
            <w:webHidden/>
          </w:rPr>
          <w:fldChar w:fldCharType="separate"/>
        </w:r>
        <w:r w:rsidR="006222A3">
          <w:rPr>
            <w:noProof/>
            <w:webHidden/>
          </w:rPr>
          <w:t>1</w:t>
        </w:r>
        <w:r w:rsidR="00390DC3">
          <w:rPr>
            <w:noProof/>
            <w:webHidden/>
          </w:rPr>
          <w:fldChar w:fldCharType="end"/>
        </w:r>
      </w:hyperlink>
    </w:p>
    <w:p w14:paraId="59D6D17E" w14:textId="77777777" w:rsidR="00390DC3" w:rsidRDefault="00472094">
      <w:pPr>
        <w:pStyle w:val="TOC2"/>
        <w:rPr>
          <w:rFonts w:asciiTheme="minorHAnsi" w:eastAsiaTheme="minorEastAsia" w:hAnsiTheme="minorHAnsi" w:cstheme="minorBidi"/>
          <w:noProof/>
          <w:sz w:val="22"/>
          <w:szCs w:val="22"/>
        </w:rPr>
      </w:pPr>
      <w:hyperlink w:anchor="_Toc448404204" w:history="1">
        <w:r w:rsidR="00390DC3" w:rsidRPr="008A5B44">
          <w:rPr>
            <w:rStyle w:val="Hyperlink"/>
            <w:noProof/>
          </w:rPr>
          <w:t>Introduction</w:t>
        </w:r>
        <w:r w:rsidR="00390DC3">
          <w:rPr>
            <w:noProof/>
            <w:webHidden/>
          </w:rPr>
          <w:tab/>
        </w:r>
        <w:r w:rsidR="00390DC3">
          <w:rPr>
            <w:noProof/>
            <w:webHidden/>
          </w:rPr>
          <w:fldChar w:fldCharType="begin"/>
        </w:r>
        <w:r w:rsidR="00390DC3">
          <w:rPr>
            <w:noProof/>
            <w:webHidden/>
          </w:rPr>
          <w:instrText xml:space="preserve"> PAGEREF _Toc448404204 \h </w:instrText>
        </w:r>
        <w:r w:rsidR="00390DC3">
          <w:rPr>
            <w:noProof/>
            <w:webHidden/>
          </w:rPr>
        </w:r>
        <w:r w:rsidR="00390DC3">
          <w:rPr>
            <w:noProof/>
            <w:webHidden/>
          </w:rPr>
          <w:fldChar w:fldCharType="separate"/>
        </w:r>
        <w:r w:rsidR="006222A3">
          <w:rPr>
            <w:noProof/>
            <w:webHidden/>
          </w:rPr>
          <w:t>1</w:t>
        </w:r>
        <w:r w:rsidR="00390DC3">
          <w:rPr>
            <w:noProof/>
            <w:webHidden/>
          </w:rPr>
          <w:fldChar w:fldCharType="end"/>
        </w:r>
      </w:hyperlink>
    </w:p>
    <w:p w14:paraId="212FB80D" w14:textId="77777777" w:rsidR="00390DC3" w:rsidRDefault="00472094">
      <w:pPr>
        <w:pStyle w:val="TOC2"/>
        <w:rPr>
          <w:rFonts w:asciiTheme="minorHAnsi" w:eastAsiaTheme="minorEastAsia" w:hAnsiTheme="minorHAnsi" w:cstheme="minorBidi"/>
          <w:noProof/>
          <w:sz w:val="22"/>
          <w:szCs w:val="22"/>
        </w:rPr>
      </w:pPr>
      <w:hyperlink w:anchor="_Toc448404205" w:history="1">
        <w:r w:rsidR="00390DC3" w:rsidRPr="008A5B44">
          <w:rPr>
            <w:rStyle w:val="Hyperlink"/>
            <w:noProof/>
          </w:rPr>
          <w:t>Consistency with Independent Living Program Purpose and Philosophy</w:t>
        </w:r>
        <w:r w:rsidR="00390DC3">
          <w:rPr>
            <w:noProof/>
            <w:webHidden/>
          </w:rPr>
          <w:tab/>
        </w:r>
        <w:r w:rsidR="00390DC3">
          <w:rPr>
            <w:noProof/>
            <w:webHidden/>
          </w:rPr>
          <w:fldChar w:fldCharType="begin"/>
        </w:r>
        <w:r w:rsidR="00390DC3">
          <w:rPr>
            <w:noProof/>
            <w:webHidden/>
          </w:rPr>
          <w:instrText xml:space="preserve"> PAGEREF _Toc448404205 \h </w:instrText>
        </w:r>
        <w:r w:rsidR="00390DC3">
          <w:rPr>
            <w:noProof/>
            <w:webHidden/>
          </w:rPr>
        </w:r>
        <w:r w:rsidR="00390DC3">
          <w:rPr>
            <w:noProof/>
            <w:webHidden/>
          </w:rPr>
          <w:fldChar w:fldCharType="separate"/>
        </w:r>
        <w:r w:rsidR="006222A3">
          <w:rPr>
            <w:noProof/>
            <w:webHidden/>
          </w:rPr>
          <w:t>1</w:t>
        </w:r>
        <w:r w:rsidR="00390DC3">
          <w:rPr>
            <w:noProof/>
            <w:webHidden/>
          </w:rPr>
          <w:fldChar w:fldCharType="end"/>
        </w:r>
      </w:hyperlink>
    </w:p>
    <w:p w14:paraId="3EB48611" w14:textId="77777777" w:rsidR="00390DC3" w:rsidRDefault="00472094">
      <w:pPr>
        <w:pStyle w:val="TOC2"/>
        <w:rPr>
          <w:rFonts w:asciiTheme="minorHAnsi" w:eastAsiaTheme="minorEastAsia" w:hAnsiTheme="minorHAnsi" w:cstheme="minorBidi"/>
          <w:noProof/>
          <w:sz w:val="22"/>
          <w:szCs w:val="22"/>
        </w:rPr>
      </w:pPr>
      <w:hyperlink w:anchor="_Toc448404206" w:history="1">
        <w:r w:rsidR="00390DC3" w:rsidRPr="008A5B44">
          <w:rPr>
            <w:rStyle w:val="Hyperlink"/>
            <w:noProof/>
          </w:rPr>
          <w:t>Board, Staff and Consultant Responsibilities</w:t>
        </w:r>
        <w:r w:rsidR="00390DC3">
          <w:rPr>
            <w:noProof/>
            <w:webHidden/>
          </w:rPr>
          <w:tab/>
        </w:r>
        <w:r w:rsidR="00390DC3">
          <w:rPr>
            <w:noProof/>
            <w:webHidden/>
          </w:rPr>
          <w:fldChar w:fldCharType="begin"/>
        </w:r>
        <w:r w:rsidR="00390DC3">
          <w:rPr>
            <w:noProof/>
            <w:webHidden/>
          </w:rPr>
          <w:instrText xml:space="preserve"> PAGEREF _Toc448404206 \h </w:instrText>
        </w:r>
        <w:r w:rsidR="00390DC3">
          <w:rPr>
            <w:noProof/>
            <w:webHidden/>
          </w:rPr>
        </w:r>
        <w:r w:rsidR="00390DC3">
          <w:rPr>
            <w:noProof/>
            <w:webHidden/>
          </w:rPr>
          <w:fldChar w:fldCharType="separate"/>
        </w:r>
        <w:r w:rsidR="006222A3">
          <w:rPr>
            <w:noProof/>
            <w:webHidden/>
          </w:rPr>
          <w:t>2</w:t>
        </w:r>
        <w:r w:rsidR="00390DC3">
          <w:rPr>
            <w:noProof/>
            <w:webHidden/>
          </w:rPr>
          <w:fldChar w:fldCharType="end"/>
        </w:r>
      </w:hyperlink>
    </w:p>
    <w:p w14:paraId="2E880E9F" w14:textId="77777777" w:rsidR="00390DC3" w:rsidRDefault="00472094">
      <w:pPr>
        <w:pStyle w:val="TOC3"/>
        <w:rPr>
          <w:rFonts w:asciiTheme="minorHAnsi" w:eastAsiaTheme="minorEastAsia" w:hAnsiTheme="minorHAnsi" w:cstheme="minorBidi"/>
          <w:noProof/>
          <w:sz w:val="22"/>
          <w:szCs w:val="22"/>
        </w:rPr>
      </w:pPr>
      <w:hyperlink w:anchor="_Toc448404207" w:history="1">
        <w:r w:rsidR="00390DC3" w:rsidRPr="008A5B44">
          <w:rPr>
            <w:rStyle w:val="Hyperlink"/>
            <w:noProof/>
          </w:rPr>
          <w:t>Board of Directors (and Committees)</w:t>
        </w:r>
        <w:r w:rsidR="00390DC3">
          <w:rPr>
            <w:noProof/>
            <w:webHidden/>
          </w:rPr>
          <w:tab/>
        </w:r>
        <w:r w:rsidR="00390DC3">
          <w:rPr>
            <w:noProof/>
            <w:webHidden/>
          </w:rPr>
          <w:fldChar w:fldCharType="begin"/>
        </w:r>
        <w:r w:rsidR="00390DC3">
          <w:rPr>
            <w:noProof/>
            <w:webHidden/>
          </w:rPr>
          <w:instrText xml:space="preserve"> PAGEREF _Toc448404207 \h </w:instrText>
        </w:r>
        <w:r w:rsidR="00390DC3">
          <w:rPr>
            <w:noProof/>
            <w:webHidden/>
          </w:rPr>
        </w:r>
        <w:r w:rsidR="00390DC3">
          <w:rPr>
            <w:noProof/>
            <w:webHidden/>
          </w:rPr>
          <w:fldChar w:fldCharType="separate"/>
        </w:r>
        <w:r w:rsidR="006222A3">
          <w:rPr>
            <w:noProof/>
            <w:webHidden/>
          </w:rPr>
          <w:t>2</w:t>
        </w:r>
        <w:r w:rsidR="00390DC3">
          <w:rPr>
            <w:noProof/>
            <w:webHidden/>
          </w:rPr>
          <w:fldChar w:fldCharType="end"/>
        </w:r>
      </w:hyperlink>
    </w:p>
    <w:p w14:paraId="34A5B870" w14:textId="77777777" w:rsidR="00390DC3" w:rsidRDefault="00472094">
      <w:pPr>
        <w:pStyle w:val="TOC3"/>
        <w:rPr>
          <w:rFonts w:asciiTheme="minorHAnsi" w:eastAsiaTheme="minorEastAsia" w:hAnsiTheme="minorHAnsi" w:cstheme="minorBidi"/>
          <w:noProof/>
          <w:sz w:val="22"/>
          <w:szCs w:val="22"/>
        </w:rPr>
      </w:pPr>
      <w:hyperlink w:anchor="_Toc448404208" w:history="1">
        <w:r w:rsidR="00390DC3" w:rsidRPr="008A5B44">
          <w:rPr>
            <w:rStyle w:val="Hyperlink"/>
            <w:noProof/>
          </w:rPr>
          <w:t>Executive Director</w:t>
        </w:r>
        <w:r w:rsidR="00390DC3">
          <w:rPr>
            <w:noProof/>
            <w:webHidden/>
          </w:rPr>
          <w:tab/>
        </w:r>
        <w:r w:rsidR="00390DC3">
          <w:rPr>
            <w:noProof/>
            <w:webHidden/>
          </w:rPr>
          <w:fldChar w:fldCharType="begin"/>
        </w:r>
        <w:r w:rsidR="00390DC3">
          <w:rPr>
            <w:noProof/>
            <w:webHidden/>
          </w:rPr>
          <w:instrText xml:space="preserve"> PAGEREF _Toc448404208 \h </w:instrText>
        </w:r>
        <w:r w:rsidR="00390DC3">
          <w:rPr>
            <w:noProof/>
            <w:webHidden/>
          </w:rPr>
        </w:r>
        <w:r w:rsidR="00390DC3">
          <w:rPr>
            <w:noProof/>
            <w:webHidden/>
          </w:rPr>
          <w:fldChar w:fldCharType="separate"/>
        </w:r>
        <w:r w:rsidR="006222A3">
          <w:rPr>
            <w:noProof/>
            <w:webHidden/>
          </w:rPr>
          <w:t>3</w:t>
        </w:r>
        <w:r w:rsidR="00390DC3">
          <w:rPr>
            <w:noProof/>
            <w:webHidden/>
          </w:rPr>
          <w:fldChar w:fldCharType="end"/>
        </w:r>
      </w:hyperlink>
    </w:p>
    <w:p w14:paraId="54A16FE3" w14:textId="77777777" w:rsidR="00390DC3" w:rsidRDefault="00472094">
      <w:pPr>
        <w:pStyle w:val="TOC3"/>
        <w:rPr>
          <w:rFonts w:asciiTheme="minorHAnsi" w:eastAsiaTheme="minorEastAsia" w:hAnsiTheme="minorHAnsi" w:cstheme="minorBidi"/>
          <w:noProof/>
          <w:sz w:val="22"/>
          <w:szCs w:val="22"/>
        </w:rPr>
      </w:pPr>
      <w:hyperlink w:anchor="_Toc448404209" w:history="1">
        <w:r w:rsidR="00390DC3" w:rsidRPr="008A5B44">
          <w:rPr>
            <w:rStyle w:val="Hyperlink"/>
            <w:noProof/>
          </w:rPr>
          <w:t>Accountant (Bookkeeper)</w:t>
        </w:r>
        <w:r w:rsidR="00390DC3">
          <w:rPr>
            <w:noProof/>
            <w:webHidden/>
          </w:rPr>
          <w:tab/>
        </w:r>
        <w:r w:rsidR="00390DC3">
          <w:rPr>
            <w:noProof/>
            <w:webHidden/>
          </w:rPr>
          <w:fldChar w:fldCharType="begin"/>
        </w:r>
        <w:r w:rsidR="00390DC3">
          <w:rPr>
            <w:noProof/>
            <w:webHidden/>
          </w:rPr>
          <w:instrText xml:space="preserve"> PAGEREF _Toc448404209 \h </w:instrText>
        </w:r>
        <w:r w:rsidR="00390DC3">
          <w:rPr>
            <w:noProof/>
            <w:webHidden/>
          </w:rPr>
        </w:r>
        <w:r w:rsidR="00390DC3">
          <w:rPr>
            <w:noProof/>
            <w:webHidden/>
          </w:rPr>
          <w:fldChar w:fldCharType="separate"/>
        </w:r>
        <w:r w:rsidR="006222A3">
          <w:rPr>
            <w:noProof/>
            <w:webHidden/>
          </w:rPr>
          <w:t>4</w:t>
        </w:r>
        <w:r w:rsidR="00390DC3">
          <w:rPr>
            <w:noProof/>
            <w:webHidden/>
          </w:rPr>
          <w:fldChar w:fldCharType="end"/>
        </w:r>
      </w:hyperlink>
    </w:p>
    <w:p w14:paraId="504E3114" w14:textId="77777777" w:rsidR="00390DC3" w:rsidRDefault="00472094">
      <w:pPr>
        <w:pStyle w:val="TOC3"/>
        <w:rPr>
          <w:rFonts w:asciiTheme="minorHAnsi" w:eastAsiaTheme="minorEastAsia" w:hAnsiTheme="minorHAnsi" w:cstheme="minorBidi"/>
          <w:noProof/>
          <w:sz w:val="22"/>
          <w:szCs w:val="22"/>
        </w:rPr>
      </w:pPr>
      <w:hyperlink w:anchor="_Toc448404210" w:history="1">
        <w:r w:rsidR="00390DC3" w:rsidRPr="008A5B44">
          <w:rPr>
            <w:rStyle w:val="Hyperlink"/>
            <w:noProof/>
          </w:rPr>
          <w:t>Outside CPA</w:t>
        </w:r>
        <w:r w:rsidR="00390DC3">
          <w:rPr>
            <w:noProof/>
            <w:webHidden/>
          </w:rPr>
          <w:tab/>
        </w:r>
        <w:r w:rsidR="00390DC3">
          <w:rPr>
            <w:noProof/>
            <w:webHidden/>
          </w:rPr>
          <w:fldChar w:fldCharType="begin"/>
        </w:r>
        <w:r w:rsidR="00390DC3">
          <w:rPr>
            <w:noProof/>
            <w:webHidden/>
          </w:rPr>
          <w:instrText xml:space="preserve"> PAGEREF _Toc448404210 \h </w:instrText>
        </w:r>
        <w:r w:rsidR="00390DC3">
          <w:rPr>
            <w:noProof/>
            <w:webHidden/>
          </w:rPr>
        </w:r>
        <w:r w:rsidR="00390DC3">
          <w:rPr>
            <w:noProof/>
            <w:webHidden/>
          </w:rPr>
          <w:fldChar w:fldCharType="separate"/>
        </w:r>
        <w:r w:rsidR="006222A3">
          <w:rPr>
            <w:noProof/>
            <w:webHidden/>
          </w:rPr>
          <w:t>5</w:t>
        </w:r>
        <w:r w:rsidR="00390DC3">
          <w:rPr>
            <w:noProof/>
            <w:webHidden/>
          </w:rPr>
          <w:fldChar w:fldCharType="end"/>
        </w:r>
      </w:hyperlink>
    </w:p>
    <w:p w14:paraId="62BDAF65" w14:textId="77777777" w:rsidR="00390DC3" w:rsidRDefault="00472094">
      <w:pPr>
        <w:pStyle w:val="TOC2"/>
        <w:rPr>
          <w:rFonts w:asciiTheme="minorHAnsi" w:eastAsiaTheme="minorEastAsia" w:hAnsiTheme="minorHAnsi" w:cstheme="minorBidi"/>
          <w:noProof/>
          <w:sz w:val="22"/>
          <w:szCs w:val="22"/>
        </w:rPr>
      </w:pPr>
      <w:hyperlink w:anchor="_Toc448404211" w:history="1">
        <w:r w:rsidR="00390DC3" w:rsidRPr="008A5B44">
          <w:rPr>
            <w:rStyle w:val="Hyperlink"/>
            <w:noProof/>
          </w:rPr>
          <w:t>Financial Procedures and Controls</w:t>
        </w:r>
        <w:r w:rsidR="00390DC3">
          <w:rPr>
            <w:noProof/>
            <w:webHidden/>
          </w:rPr>
          <w:tab/>
        </w:r>
        <w:r w:rsidR="00390DC3">
          <w:rPr>
            <w:noProof/>
            <w:webHidden/>
          </w:rPr>
          <w:fldChar w:fldCharType="begin"/>
        </w:r>
        <w:r w:rsidR="00390DC3">
          <w:rPr>
            <w:noProof/>
            <w:webHidden/>
          </w:rPr>
          <w:instrText xml:space="preserve"> PAGEREF _Toc448404211 \h </w:instrText>
        </w:r>
        <w:r w:rsidR="00390DC3">
          <w:rPr>
            <w:noProof/>
            <w:webHidden/>
          </w:rPr>
        </w:r>
        <w:r w:rsidR="00390DC3">
          <w:rPr>
            <w:noProof/>
            <w:webHidden/>
          </w:rPr>
          <w:fldChar w:fldCharType="separate"/>
        </w:r>
        <w:r w:rsidR="006222A3">
          <w:rPr>
            <w:noProof/>
            <w:webHidden/>
          </w:rPr>
          <w:t>5</w:t>
        </w:r>
        <w:r w:rsidR="00390DC3">
          <w:rPr>
            <w:noProof/>
            <w:webHidden/>
          </w:rPr>
          <w:fldChar w:fldCharType="end"/>
        </w:r>
      </w:hyperlink>
    </w:p>
    <w:p w14:paraId="21FE9B72" w14:textId="77777777" w:rsidR="00390DC3" w:rsidRDefault="00472094">
      <w:pPr>
        <w:pStyle w:val="TOC3"/>
        <w:rPr>
          <w:rFonts w:asciiTheme="minorHAnsi" w:eastAsiaTheme="minorEastAsia" w:hAnsiTheme="minorHAnsi" w:cstheme="minorBidi"/>
          <w:noProof/>
          <w:sz w:val="22"/>
          <w:szCs w:val="22"/>
        </w:rPr>
      </w:pPr>
      <w:hyperlink w:anchor="_Toc448404212" w:history="1">
        <w:r w:rsidR="00390DC3" w:rsidRPr="008A5B44">
          <w:rPr>
            <w:rStyle w:val="Hyperlink"/>
            <w:noProof/>
          </w:rPr>
          <w:t>Security of Financial Information and Other Records</w:t>
        </w:r>
        <w:r w:rsidR="00390DC3">
          <w:rPr>
            <w:noProof/>
            <w:webHidden/>
          </w:rPr>
          <w:tab/>
        </w:r>
        <w:r w:rsidR="00390DC3">
          <w:rPr>
            <w:noProof/>
            <w:webHidden/>
          </w:rPr>
          <w:fldChar w:fldCharType="begin"/>
        </w:r>
        <w:r w:rsidR="00390DC3">
          <w:rPr>
            <w:noProof/>
            <w:webHidden/>
          </w:rPr>
          <w:instrText xml:space="preserve"> PAGEREF _Toc448404212 \h </w:instrText>
        </w:r>
        <w:r w:rsidR="00390DC3">
          <w:rPr>
            <w:noProof/>
            <w:webHidden/>
          </w:rPr>
        </w:r>
        <w:r w:rsidR="00390DC3">
          <w:rPr>
            <w:noProof/>
            <w:webHidden/>
          </w:rPr>
          <w:fldChar w:fldCharType="separate"/>
        </w:r>
        <w:r w:rsidR="006222A3">
          <w:rPr>
            <w:noProof/>
            <w:webHidden/>
          </w:rPr>
          <w:t>5</w:t>
        </w:r>
        <w:r w:rsidR="00390DC3">
          <w:rPr>
            <w:noProof/>
            <w:webHidden/>
          </w:rPr>
          <w:fldChar w:fldCharType="end"/>
        </w:r>
      </w:hyperlink>
    </w:p>
    <w:p w14:paraId="3F9E3184" w14:textId="77777777" w:rsidR="00390DC3" w:rsidRDefault="00472094">
      <w:pPr>
        <w:pStyle w:val="TOC3"/>
        <w:rPr>
          <w:rFonts w:asciiTheme="minorHAnsi" w:eastAsiaTheme="minorEastAsia" w:hAnsiTheme="minorHAnsi" w:cstheme="minorBidi"/>
          <w:noProof/>
          <w:sz w:val="22"/>
          <w:szCs w:val="22"/>
        </w:rPr>
      </w:pPr>
      <w:hyperlink w:anchor="_Toc448404213" w:history="1">
        <w:r w:rsidR="00390DC3" w:rsidRPr="008A5B44">
          <w:rPr>
            <w:rStyle w:val="Hyperlink"/>
            <w:noProof/>
          </w:rPr>
          <w:t>Segregation of Responsibilities</w:t>
        </w:r>
        <w:r w:rsidR="00390DC3">
          <w:rPr>
            <w:noProof/>
            <w:webHidden/>
          </w:rPr>
          <w:tab/>
        </w:r>
        <w:r w:rsidR="00390DC3">
          <w:rPr>
            <w:noProof/>
            <w:webHidden/>
          </w:rPr>
          <w:fldChar w:fldCharType="begin"/>
        </w:r>
        <w:r w:rsidR="00390DC3">
          <w:rPr>
            <w:noProof/>
            <w:webHidden/>
          </w:rPr>
          <w:instrText xml:space="preserve"> PAGEREF _Toc448404213 \h </w:instrText>
        </w:r>
        <w:r w:rsidR="00390DC3">
          <w:rPr>
            <w:noProof/>
            <w:webHidden/>
          </w:rPr>
        </w:r>
        <w:r w:rsidR="00390DC3">
          <w:rPr>
            <w:noProof/>
            <w:webHidden/>
          </w:rPr>
          <w:fldChar w:fldCharType="separate"/>
        </w:r>
        <w:r w:rsidR="006222A3">
          <w:rPr>
            <w:noProof/>
            <w:webHidden/>
          </w:rPr>
          <w:t>5</w:t>
        </w:r>
        <w:r w:rsidR="00390DC3">
          <w:rPr>
            <w:noProof/>
            <w:webHidden/>
          </w:rPr>
          <w:fldChar w:fldCharType="end"/>
        </w:r>
      </w:hyperlink>
    </w:p>
    <w:p w14:paraId="32DE6B46" w14:textId="77777777" w:rsidR="00390DC3" w:rsidRDefault="00472094">
      <w:pPr>
        <w:pStyle w:val="TOC3"/>
        <w:rPr>
          <w:rFonts w:asciiTheme="minorHAnsi" w:eastAsiaTheme="minorEastAsia" w:hAnsiTheme="minorHAnsi" w:cstheme="minorBidi"/>
          <w:noProof/>
          <w:sz w:val="22"/>
          <w:szCs w:val="22"/>
        </w:rPr>
      </w:pPr>
      <w:hyperlink w:anchor="_Toc448404214" w:history="1">
        <w:r w:rsidR="00390DC3" w:rsidRPr="008A5B44">
          <w:rPr>
            <w:rStyle w:val="Hyperlink"/>
            <w:noProof/>
          </w:rPr>
          <w:t>Cash Receipts</w:t>
        </w:r>
        <w:r w:rsidR="00390DC3">
          <w:rPr>
            <w:noProof/>
            <w:webHidden/>
          </w:rPr>
          <w:tab/>
        </w:r>
        <w:r w:rsidR="00390DC3">
          <w:rPr>
            <w:noProof/>
            <w:webHidden/>
          </w:rPr>
          <w:fldChar w:fldCharType="begin"/>
        </w:r>
        <w:r w:rsidR="00390DC3">
          <w:rPr>
            <w:noProof/>
            <w:webHidden/>
          </w:rPr>
          <w:instrText xml:space="preserve"> PAGEREF _Toc448404214 \h </w:instrText>
        </w:r>
        <w:r w:rsidR="00390DC3">
          <w:rPr>
            <w:noProof/>
            <w:webHidden/>
          </w:rPr>
        </w:r>
        <w:r w:rsidR="00390DC3">
          <w:rPr>
            <w:noProof/>
            <w:webHidden/>
          </w:rPr>
          <w:fldChar w:fldCharType="separate"/>
        </w:r>
        <w:r w:rsidR="006222A3">
          <w:rPr>
            <w:noProof/>
            <w:webHidden/>
          </w:rPr>
          <w:t>5</w:t>
        </w:r>
        <w:r w:rsidR="00390DC3">
          <w:rPr>
            <w:noProof/>
            <w:webHidden/>
          </w:rPr>
          <w:fldChar w:fldCharType="end"/>
        </w:r>
      </w:hyperlink>
    </w:p>
    <w:p w14:paraId="19C61980" w14:textId="77777777" w:rsidR="00390DC3" w:rsidRDefault="00472094">
      <w:pPr>
        <w:pStyle w:val="TOC3"/>
        <w:rPr>
          <w:rFonts w:asciiTheme="minorHAnsi" w:eastAsiaTheme="minorEastAsia" w:hAnsiTheme="minorHAnsi" w:cstheme="minorBidi"/>
          <w:noProof/>
          <w:sz w:val="22"/>
          <w:szCs w:val="22"/>
        </w:rPr>
      </w:pPr>
      <w:hyperlink w:anchor="_Toc448404215" w:history="1">
        <w:r w:rsidR="00390DC3" w:rsidRPr="008A5B44">
          <w:rPr>
            <w:rStyle w:val="Hyperlink"/>
            <w:noProof/>
          </w:rPr>
          <w:t>Federal Drawdowns</w:t>
        </w:r>
        <w:r w:rsidR="00390DC3">
          <w:rPr>
            <w:noProof/>
            <w:webHidden/>
          </w:rPr>
          <w:tab/>
        </w:r>
        <w:r w:rsidR="00390DC3">
          <w:rPr>
            <w:noProof/>
            <w:webHidden/>
          </w:rPr>
          <w:fldChar w:fldCharType="begin"/>
        </w:r>
        <w:r w:rsidR="00390DC3">
          <w:rPr>
            <w:noProof/>
            <w:webHidden/>
          </w:rPr>
          <w:instrText xml:space="preserve"> PAGEREF _Toc448404215 \h </w:instrText>
        </w:r>
        <w:r w:rsidR="00390DC3">
          <w:rPr>
            <w:noProof/>
            <w:webHidden/>
          </w:rPr>
        </w:r>
        <w:r w:rsidR="00390DC3">
          <w:rPr>
            <w:noProof/>
            <w:webHidden/>
          </w:rPr>
          <w:fldChar w:fldCharType="separate"/>
        </w:r>
        <w:r w:rsidR="006222A3">
          <w:rPr>
            <w:noProof/>
            <w:webHidden/>
          </w:rPr>
          <w:t>6</w:t>
        </w:r>
        <w:r w:rsidR="00390DC3">
          <w:rPr>
            <w:noProof/>
            <w:webHidden/>
          </w:rPr>
          <w:fldChar w:fldCharType="end"/>
        </w:r>
      </w:hyperlink>
    </w:p>
    <w:p w14:paraId="5FCCF866" w14:textId="77777777" w:rsidR="00390DC3" w:rsidRDefault="00472094">
      <w:pPr>
        <w:pStyle w:val="TOC3"/>
        <w:rPr>
          <w:rFonts w:asciiTheme="minorHAnsi" w:eastAsiaTheme="minorEastAsia" w:hAnsiTheme="minorHAnsi" w:cstheme="minorBidi"/>
          <w:noProof/>
          <w:sz w:val="22"/>
          <w:szCs w:val="22"/>
        </w:rPr>
      </w:pPr>
      <w:hyperlink w:anchor="_Toc448404216" w:history="1">
        <w:r w:rsidR="00390DC3" w:rsidRPr="008A5B44">
          <w:rPr>
            <w:rStyle w:val="Hyperlink"/>
            <w:noProof/>
          </w:rPr>
          <w:t>Expense Allocations</w:t>
        </w:r>
        <w:r w:rsidR="00390DC3">
          <w:rPr>
            <w:noProof/>
            <w:webHidden/>
          </w:rPr>
          <w:tab/>
        </w:r>
        <w:r w:rsidR="00390DC3">
          <w:rPr>
            <w:noProof/>
            <w:webHidden/>
          </w:rPr>
          <w:fldChar w:fldCharType="begin"/>
        </w:r>
        <w:r w:rsidR="00390DC3">
          <w:rPr>
            <w:noProof/>
            <w:webHidden/>
          </w:rPr>
          <w:instrText xml:space="preserve"> PAGEREF _Toc448404216 \h </w:instrText>
        </w:r>
        <w:r w:rsidR="00390DC3">
          <w:rPr>
            <w:noProof/>
            <w:webHidden/>
          </w:rPr>
        </w:r>
        <w:r w:rsidR="00390DC3">
          <w:rPr>
            <w:noProof/>
            <w:webHidden/>
          </w:rPr>
          <w:fldChar w:fldCharType="separate"/>
        </w:r>
        <w:r w:rsidR="006222A3">
          <w:rPr>
            <w:noProof/>
            <w:webHidden/>
          </w:rPr>
          <w:t>7</w:t>
        </w:r>
        <w:r w:rsidR="00390DC3">
          <w:rPr>
            <w:noProof/>
            <w:webHidden/>
          </w:rPr>
          <w:fldChar w:fldCharType="end"/>
        </w:r>
      </w:hyperlink>
    </w:p>
    <w:p w14:paraId="55624409" w14:textId="77777777" w:rsidR="00390DC3" w:rsidRDefault="00472094">
      <w:pPr>
        <w:pStyle w:val="TOC2"/>
        <w:rPr>
          <w:rFonts w:asciiTheme="minorHAnsi" w:eastAsiaTheme="minorEastAsia" w:hAnsiTheme="minorHAnsi" w:cstheme="minorBidi"/>
          <w:noProof/>
          <w:sz w:val="22"/>
          <w:szCs w:val="22"/>
        </w:rPr>
      </w:pPr>
      <w:hyperlink w:anchor="_Toc448404217" w:history="1">
        <w:r w:rsidR="00390DC3" w:rsidRPr="008A5B44">
          <w:rPr>
            <w:rStyle w:val="Hyperlink"/>
            <w:noProof/>
          </w:rPr>
          <w:t>Grant Administration and Payment System</w:t>
        </w:r>
        <w:r w:rsidR="00390DC3">
          <w:rPr>
            <w:noProof/>
            <w:webHidden/>
          </w:rPr>
          <w:tab/>
        </w:r>
        <w:r w:rsidR="00390DC3">
          <w:rPr>
            <w:noProof/>
            <w:webHidden/>
          </w:rPr>
          <w:fldChar w:fldCharType="begin"/>
        </w:r>
        <w:r w:rsidR="00390DC3">
          <w:rPr>
            <w:noProof/>
            <w:webHidden/>
          </w:rPr>
          <w:instrText xml:space="preserve"> PAGEREF _Toc448404217 \h </w:instrText>
        </w:r>
        <w:r w:rsidR="00390DC3">
          <w:rPr>
            <w:noProof/>
            <w:webHidden/>
          </w:rPr>
        </w:r>
        <w:r w:rsidR="00390DC3">
          <w:rPr>
            <w:noProof/>
            <w:webHidden/>
          </w:rPr>
          <w:fldChar w:fldCharType="separate"/>
        </w:r>
        <w:r w:rsidR="006222A3">
          <w:rPr>
            <w:noProof/>
            <w:webHidden/>
          </w:rPr>
          <w:t>7</w:t>
        </w:r>
        <w:r w:rsidR="00390DC3">
          <w:rPr>
            <w:noProof/>
            <w:webHidden/>
          </w:rPr>
          <w:fldChar w:fldCharType="end"/>
        </w:r>
      </w:hyperlink>
    </w:p>
    <w:p w14:paraId="35D8E516" w14:textId="77777777" w:rsidR="00390DC3" w:rsidRDefault="00472094">
      <w:pPr>
        <w:pStyle w:val="TOC3"/>
        <w:rPr>
          <w:rFonts w:asciiTheme="minorHAnsi" w:eastAsiaTheme="minorEastAsia" w:hAnsiTheme="minorHAnsi" w:cstheme="minorBidi"/>
          <w:noProof/>
          <w:sz w:val="22"/>
          <w:szCs w:val="22"/>
        </w:rPr>
      </w:pPr>
      <w:hyperlink w:anchor="_Toc448404218" w:history="1">
        <w:r w:rsidR="00390DC3" w:rsidRPr="008A5B44">
          <w:rPr>
            <w:rStyle w:val="Hyperlink"/>
            <w:noProof/>
          </w:rPr>
          <w:t>Check Preparation and Signatures</w:t>
        </w:r>
        <w:r w:rsidR="00390DC3">
          <w:rPr>
            <w:noProof/>
            <w:webHidden/>
          </w:rPr>
          <w:tab/>
        </w:r>
        <w:r w:rsidR="00390DC3">
          <w:rPr>
            <w:noProof/>
            <w:webHidden/>
          </w:rPr>
          <w:fldChar w:fldCharType="begin"/>
        </w:r>
        <w:r w:rsidR="00390DC3">
          <w:rPr>
            <w:noProof/>
            <w:webHidden/>
          </w:rPr>
          <w:instrText xml:space="preserve"> PAGEREF _Toc448404218 \h </w:instrText>
        </w:r>
        <w:r w:rsidR="00390DC3">
          <w:rPr>
            <w:noProof/>
            <w:webHidden/>
          </w:rPr>
        </w:r>
        <w:r w:rsidR="00390DC3">
          <w:rPr>
            <w:noProof/>
            <w:webHidden/>
          </w:rPr>
          <w:fldChar w:fldCharType="separate"/>
        </w:r>
        <w:r w:rsidR="006222A3">
          <w:rPr>
            <w:noProof/>
            <w:webHidden/>
          </w:rPr>
          <w:t>7</w:t>
        </w:r>
        <w:r w:rsidR="00390DC3">
          <w:rPr>
            <w:noProof/>
            <w:webHidden/>
          </w:rPr>
          <w:fldChar w:fldCharType="end"/>
        </w:r>
      </w:hyperlink>
    </w:p>
    <w:p w14:paraId="5CD95256" w14:textId="77777777" w:rsidR="00390DC3" w:rsidRDefault="00472094">
      <w:pPr>
        <w:pStyle w:val="TOC3"/>
        <w:rPr>
          <w:rFonts w:asciiTheme="minorHAnsi" w:eastAsiaTheme="minorEastAsia" w:hAnsiTheme="minorHAnsi" w:cstheme="minorBidi"/>
          <w:noProof/>
          <w:sz w:val="22"/>
          <w:szCs w:val="22"/>
        </w:rPr>
      </w:pPr>
      <w:hyperlink w:anchor="_Toc448404219" w:history="1">
        <w:r w:rsidR="00390DC3" w:rsidRPr="008A5B44">
          <w:rPr>
            <w:rStyle w:val="Hyperlink"/>
            <w:noProof/>
          </w:rPr>
          <w:t>Bank Reconciliations</w:t>
        </w:r>
        <w:r w:rsidR="00390DC3">
          <w:rPr>
            <w:noProof/>
            <w:webHidden/>
          </w:rPr>
          <w:tab/>
        </w:r>
        <w:r w:rsidR="00390DC3">
          <w:rPr>
            <w:noProof/>
            <w:webHidden/>
          </w:rPr>
          <w:fldChar w:fldCharType="begin"/>
        </w:r>
        <w:r w:rsidR="00390DC3">
          <w:rPr>
            <w:noProof/>
            <w:webHidden/>
          </w:rPr>
          <w:instrText xml:space="preserve"> PAGEREF _Toc448404219 \h </w:instrText>
        </w:r>
        <w:r w:rsidR="00390DC3">
          <w:rPr>
            <w:noProof/>
            <w:webHidden/>
          </w:rPr>
        </w:r>
        <w:r w:rsidR="00390DC3">
          <w:rPr>
            <w:noProof/>
            <w:webHidden/>
          </w:rPr>
          <w:fldChar w:fldCharType="separate"/>
        </w:r>
        <w:r w:rsidR="006222A3">
          <w:rPr>
            <w:noProof/>
            <w:webHidden/>
          </w:rPr>
          <w:t>8</w:t>
        </w:r>
        <w:r w:rsidR="00390DC3">
          <w:rPr>
            <w:noProof/>
            <w:webHidden/>
          </w:rPr>
          <w:fldChar w:fldCharType="end"/>
        </w:r>
      </w:hyperlink>
    </w:p>
    <w:p w14:paraId="183882D0" w14:textId="77777777" w:rsidR="00390DC3" w:rsidRDefault="00472094">
      <w:pPr>
        <w:pStyle w:val="TOC3"/>
        <w:rPr>
          <w:rFonts w:asciiTheme="minorHAnsi" w:eastAsiaTheme="minorEastAsia" w:hAnsiTheme="minorHAnsi" w:cstheme="minorBidi"/>
          <w:noProof/>
          <w:sz w:val="22"/>
          <w:szCs w:val="22"/>
        </w:rPr>
      </w:pPr>
      <w:hyperlink w:anchor="_Toc448404220" w:history="1">
        <w:r w:rsidR="00390DC3" w:rsidRPr="008A5B44">
          <w:rPr>
            <w:rStyle w:val="Hyperlink"/>
            <w:noProof/>
          </w:rPr>
          <w:t>Payroll and Time and Effort Reporting Procedures</w:t>
        </w:r>
        <w:r w:rsidR="00390DC3">
          <w:rPr>
            <w:noProof/>
            <w:webHidden/>
          </w:rPr>
          <w:tab/>
        </w:r>
        <w:r w:rsidR="00390DC3">
          <w:rPr>
            <w:noProof/>
            <w:webHidden/>
          </w:rPr>
          <w:fldChar w:fldCharType="begin"/>
        </w:r>
        <w:r w:rsidR="00390DC3">
          <w:rPr>
            <w:noProof/>
            <w:webHidden/>
          </w:rPr>
          <w:instrText xml:space="preserve"> PAGEREF _Toc448404220 \h </w:instrText>
        </w:r>
        <w:r w:rsidR="00390DC3">
          <w:rPr>
            <w:noProof/>
            <w:webHidden/>
          </w:rPr>
        </w:r>
        <w:r w:rsidR="00390DC3">
          <w:rPr>
            <w:noProof/>
            <w:webHidden/>
          </w:rPr>
          <w:fldChar w:fldCharType="separate"/>
        </w:r>
        <w:r w:rsidR="006222A3">
          <w:rPr>
            <w:noProof/>
            <w:webHidden/>
          </w:rPr>
          <w:t>8</w:t>
        </w:r>
        <w:r w:rsidR="00390DC3">
          <w:rPr>
            <w:noProof/>
            <w:webHidden/>
          </w:rPr>
          <w:fldChar w:fldCharType="end"/>
        </w:r>
      </w:hyperlink>
    </w:p>
    <w:p w14:paraId="4AFF29AC" w14:textId="77777777" w:rsidR="00390DC3" w:rsidRDefault="00472094">
      <w:pPr>
        <w:pStyle w:val="TOC3"/>
        <w:rPr>
          <w:rFonts w:asciiTheme="minorHAnsi" w:eastAsiaTheme="minorEastAsia" w:hAnsiTheme="minorHAnsi" w:cstheme="minorBidi"/>
          <w:noProof/>
          <w:sz w:val="22"/>
          <w:szCs w:val="22"/>
        </w:rPr>
      </w:pPr>
      <w:hyperlink w:anchor="_Toc448404221" w:history="1">
        <w:r w:rsidR="00390DC3" w:rsidRPr="008A5B44">
          <w:rPr>
            <w:rStyle w:val="Hyperlink"/>
            <w:noProof/>
          </w:rPr>
          <w:t>Debit and Credit Card Procedures</w:t>
        </w:r>
        <w:r w:rsidR="00390DC3">
          <w:rPr>
            <w:noProof/>
            <w:webHidden/>
          </w:rPr>
          <w:tab/>
        </w:r>
        <w:r w:rsidR="00390DC3">
          <w:rPr>
            <w:noProof/>
            <w:webHidden/>
          </w:rPr>
          <w:fldChar w:fldCharType="begin"/>
        </w:r>
        <w:r w:rsidR="00390DC3">
          <w:rPr>
            <w:noProof/>
            <w:webHidden/>
          </w:rPr>
          <w:instrText xml:space="preserve"> PAGEREF _Toc448404221 \h </w:instrText>
        </w:r>
        <w:r w:rsidR="00390DC3">
          <w:rPr>
            <w:noProof/>
            <w:webHidden/>
          </w:rPr>
        </w:r>
        <w:r w:rsidR="00390DC3">
          <w:rPr>
            <w:noProof/>
            <w:webHidden/>
          </w:rPr>
          <w:fldChar w:fldCharType="separate"/>
        </w:r>
        <w:r w:rsidR="006222A3">
          <w:rPr>
            <w:noProof/>
            <w:webHidden/>
          </w:rPr>
          <w:t>9</w:t>
        </w:r>
        <w:r w:rsidR="00390DC3">
          <w:rPr>
            <w:noProof/>
            <w:webHidden/>
          </w:rPr>
          <w:fldChar w:fldCharType="end"/>
        </w:r>
      </w:hyperlink>
    </w:p>
    <w:p w14:paraId="39EE8998" w14:textId="77777777" w:rsidR="00390DC3" w:rsidRDefault="00472094">
      <w:pPr>
        <w:pStyle w:val="TOC3"/>
        <w:rPr>
          <w:rFonts w:asciiTheme="minorHAnsi" w:eastAsiaTheme="minorEastAsia" w:hAnsiTheme="minorHAnsi" w:cstheme="minorBidi"/>
          <w:noProof/>
          <w:sz w:val="22"/>
          <w:szCs w:val="22"/>
        </w:rPr>
      </w:pPr>
      <w:hyperlink w:anchor="_Toc448404222" w:history="1">
        <w:r w:rsidR="00390DC3" w:rsidRPr="008A5B44">
          <w:rPr>
            <w:rStyle w:val="Hyperlink"/>
            <w:noProof/>
          </w:rPr>
          <w:t>Travel</w:t>
        </w:r>
        <w:r w:rsidR="00390DC3">
          <w:rPr>
            <w:noProof/>
            <w:webHidden/>
          </w:rPr>
          <w:tab/>
        </w:r>
        <w:r w:rsidR="00390DC3">
          <w:rPr>
            <w:noProof/>
            <w:webHidden/>
          </w:rPr>
          <w:fldChar w:fldCharType="begin"/>
        </w:r>
        <w:r w:rsidR="00390DC3">
          <w:rPr>
            <w:noProof/>
            <w:webHidden/>
          </w:rPr>
          <w:instrText xml:space="preserve"> PAGEREF _Toc448404222 \h </w:instrText>
        </w:r>
        <w:r w:rsidR="00390DC3">
          <w:rPr>
            <w:noProof/>
            <w:webHidden/>
          </w:rPr>
        </w:r>
        <w:r w:rsidR="00390DC3">
          <w:rPr>
            <w:noProof/>
            <w:webHidden/>
          </w:rPr>
          <w:fldChar w:fldCharType="separate"/>
        </w:r>
        <w:r w:rsidR="006222A3">
          <w:rPr>
            <w:noProof/>
            <w:webHidden/>
          </w:rPr>
          <w:t>11</w:t>
        </w:r>
        <w:r w:rsidR="00390DC3">
          <w:rPr>
            <w:noProof/>
            <w:webHidden/>
          </w:rPr>
          <w:fldChar w:fldCharType="end"/>
        </w:r>
      </w:hyperlink>
    </w:p>
    <w:p w14:paraId="0F216B75" w14:textId="77777777" w:rsidR="00390DC3" w:rsidRDefault="00472094">
      <w:pPr>
        <w:pStyle w:val="TOC2"/>
        <w:rPr>
          <w:rFonts w:asciiTheme="minorHAnsi" w:eastAsiaTheme="minorEastAsia" w:hAnsiTheme="minorHAnsi" w:cstheme="minorBidi"/>
          <w:noProof/>
          <w:sz w:val="22"/>
          <w:szCs w:val="22"/>
        </w:rPr>
      </w:pPr>
      <w:hyperlink w:anchor="_Toc448404223" w:history="1">
        <w:r w:rsidR="00390DC3" w:rsidRPr="008A5B44">
          <w:rPr>
            <w:rStyle w:val="Hyperlink"/>
            <w:noProof/>
          </w:rPr>
          <w:t>Accounting for Donated Services</w:t>
        </w:r>
        <w:r w:rsidR="00390DC3">
          <w:rPr>
            <w:noProof/>
            <w:webHidden/>
          </w:rPr>
          <w:tab/>
        </w:r>
        <w:r w:rsidR="00390DC3">
          <w:rPr>
            <w:noProof/>
            <w:webHidden/>
          </w:rPr>
          <w:fldChar w:fldCharType="begin"/>
        </w:r>
        <w:r w:rsidR="00390DC3">
          <w:rPr>
            <w:noProof/>
            <w:webHidden/>
          </w:rPr>
          <w:instrText xml:space="preserve"> PAGEREF _Toc448404223 \h </w:instrText>
        </w:r>
        <w:r w:rsidR="00390DC3">
          <w:rPr>
            <w:noProof/>
            <w:webHidden/>
          </w:rPr>
        </w:r>
        <w:r w:rsidR="00390DC3">
          <w:rPr>
            <w:noProof/>
            <w:webHidden/>
          </w:rPr>
          <w:fldChar w:fldCharType="separate"/>
        </w:r>
        <w:r w:rsidR="006222A3">
          <w:rPr>
            <w:noProof/>
            <w:webHidden/>
          </w:rPr>
          <w:t>12</w:t>
        </w:r>
        <w:r w:rsidR="00390DC3">
          <w:rPr>
            <w:noProof/>
            <w:webHidden/>
          </w:rPr>
          <w:fldChar w:fldCharType="end"/>
        </w:r>
      </w:hyperlink>
    </w:p>
    <w:p w14:paraId="102415D0" w14:textId="77777777" w:rsidR="00390DC3" w:rsidRDefault="00472094">
      <w:pPr>
        <w:pStyle w:val="TOC2"/>
        <w:rPr>
          <w:rFonts w:asciiTheme="minorHAnsi" w:eastAsiaTheme="minorEastAsia" w:hAnsiTheme="minorHAnsi" w:cstheme="minorBidi"/>
          <w:noProof/>
          <w:sz w:val="22"/>
          <w:szCs w:val="22"/>
        </w:rPr>
      </w:pPr>
      <w:hyperlink w:anchor="_Toc448404224" w:history="1">
        <w:r w:rsidR="00390DC3" w:rsidRPr="008A5B44">
          <w:rPr>
            <w:rStyle w:val="Hyperlink"/>
            <w:noProof/>
          </w:rPr>
          <w:t>Financial Reports</w:t>
        </w:r>
        <w:r w:rsidR="00390DC3">
          <w:rPr>
            <w:noProof/>
            <w:webHidden/>
          </w:rPr>
          <w:tab/>
        </w:r>
        <w:r w:rsidR="00390DC3">
          <w:rPr>
            <w:noProof/>
            <w:webHidden/>
          </w:rPr>
          <w:fldChar w:fldCharType="begin"/>
        </w:r>
        <w:r w:rsidR="00390DC3">
          <w:rPr>
            <w:noProof/>
            <w:webHidden/>
          </w:rPr>
          <w:instrText xml:space="preserve"> PAGEREF _Toc448404224 \h </w:instrText>
        </w:r>
        <w:r w:rsidR="00390DC3">
          <w:rPr>
            <w:noProof/>
            <w:webHidden/>
          </w:rPr>
        </w:r>
        <w:r w:rsidR="00390DC3">
          <w:rPr>
            <w:noProof/>
            <w:webHidden/>
          </w:rPr>
          <w:fldChar w:fldCharType="separate"/>
        </w:r>
        <w:r w:rsidR="006222A3">
          <w:rPr>
            <w:noProof/>
            <w:webHidden/>
          </w:rPr>
          <w:t>12</w:t>
        </w:r>
        <w:r w:rsidR="00390DC3">
          <w:rPr>
            <w:noProof/>
            <w:webHidden/>
          </w:rPr>
          <w:fldChar w:fldCharType="end"/>
        </w:r>
      </w:hyperlink>
    </w:p>
    <w:p w14:paraId="536589C7" w14:textId="77777777" w:rsidR="00390DC3" w:rsidRDefault="00472094">
      <w:pPr>
        <w:pStyle w:val="TOC3"/>
        <w:rPr>
          <w:rFonts w:asciiTheme="minorHAnsi" w:eastAsiaTheme="minorEastAsia" w:hAnsiTheme="minorHAnsi" w:cstheme="minorBidi"/>
          <w:noProof/>
          <w:sz w:val="22"/>
          <w:szCs w:val="22"/>
        </w:rPr>
      </w:pPr>
      <w:hyperlink w:anchor="_Toc448404225" w:history="1">
        <w:r w:rsidR="00390DC3" w:rsidRPr="008A5B44">
          <w:rPr>
            <w:rStyle w:val="Hyperlink"/>
            <w:noProof/>
          </w:rPr>
          <w:t>Balance Sheet</w:t>
        </w:r>
        <w:r w:rsidR="00390DC3">
          <w:rPr>
            <w:noProof/>
            <w:webHidden/>
          </w:rPr>
          <w:tab/>
        </w:r>
        <w:r w:rsidR="00390DC3">
          <w:rPr>
            <w:noProof/>
            <w:webHidden/>
          </w:rPr>
          <w:fldChar w:fldCharType="begin"/>
        </w:r>
        <w:r w:rsidR="00390DC3">
          <w:rPr>
            <w:noProof/>
            <w:webHidden/>
          </w:rPr>
          <w:instrText xml:space="preserve"> PAGEREF _Toc448404225 \h </w:instrText>
        </w:r>
        <w:r w:rsidR="00390DC3">
          <w:rPr>
            <w:noProof/>
            <w:webHidden/>
          </w:rPr>
        </w:r>
        <w:r w:rsidR="00390DC3">
          <w:rPr>
            <w:noProof/>
            <w:webHidden/>
          </w:rPr>
          <w:fldChar w:fldCharType="separate"/>
        </w:r>
        <w:r w:rsidR="006222A3">
          <w:rPr>
            <w:noProof/>
            <w:webHidden/>
          </w:rPr>
          <w:t>12</w:t>
        </w:r>
        <w:r w:rsidR="00390DC3">
          <w:rPr>
            <w:noProof/>
            <w:webHidden/>
          </w:rPr>
          <w:fldChar w:fldCharType="end"/>
        </w:r>
      </w:hyperlink>
    </w:p>
    <w:p w14:paraId="7963807D" w14:textId="77777777" w:rsidR="00390DC3" w:rsidRDefault="00472094">
      <w:pPr>
        <w:pStyle w:val="TOC3"/>
        <w:rPr>
          <w:rFonts w:asciiTheme="minorHAnsi" w:eastAsiaTheme="minorEastAsia" w:hAnsiTheme="minorHAnsi" w:cstheme="minorBidi"/>
          <w:noProof/>
          <w:sz w:val="22"/>
          <w:szCs w:val="22"/>
        </w:rPr>
      </w:pPr>
      <w:hyperlink w:anchor="_Toc448404226" w:history="1">
        <w:r w:rsidR="00390DC3" w:rsidRPr="008A5B44">
          <w:rPr>
            <w:rStyle w:val="Hyperlink"/>
            <w:noProof/>
          </w:rPr>
          <w:t>Statement of Income and Expenses and Budget Comparisons</w:t>
        </w:r>
        <w:r w:rsidR="00390DC3">
          <w:rPr>
            <w:noProof/>
            <w:webHidden/>
          </w:rPr>
          <w:tab/>
        </w:r>
        <w:r w:rsidR="00390DC3">
          <w:rPr>
            <w:noProof/>
            <w:webHidden/>
          </w:rPr>
          <w:fldChar w:fldCharType="begin"/>
        </w:r>
        <w:r w:rsidR="00390DC3">
          <w:rPr>
            <w:noProof/>
            <w:webHidden/>
          </w:rPr>
          <w:instrText xml:space="preserve"> PAGEREF _Toc448404226 \h </w:instrText>
        </w:r>
        <w:r w:rsidR="00390DC3">
          <w:rPr>
            <w:noProof/>
            <w:webHidden/>
          </w:rPr>
        </w:r>
        <w:r w:rsidR="00390DC3">
          <w:rPr>
            <w:noProof/>
            <w:webHidden/>
          </w:rPr>
          <w:fldChar w:fldCharType="separate"/>
        </w:r>
        <w:r w:rsidR="006222A3">
          <w:rPr>
            <w:noProof/>
            <w:webHidden/>
          </w:rPr>
          <w:t>13</w:t>
        </w:r>
        <w:r w:rsidR="00390DC3">
          <w:rPr>
            <w:noProof/>
            <w:webHidden/>
          </w:rPr>
          <w:fldChar w:fldCharType="end"/>
        </w:r>
      </w:hyperlink>
    </w:p>
    <w:p w14:paraId="79453C82" w14:textId="77777777" w:rsidR="00390DC3" w:rsidRDefault="00472094">
      <w:pPr>
        <w:pStyle w:val="TOC3"/>
        <w:rPr>
          <w:rFonts w:asciiTheme="minorHAnsi" w:eastAsiaTheme="minorEastAsia" w:hAnsiTheme="minorHAnsi" w:cstheme="minorBidi"/>
          <w:noProof/>
          <w:sz w:val="22"/>
          <w:szCs w:val="22"/>
        </w:rPr>
      </w:pPr>
      <w:hyperlink w:anchor="_Toc448404227" w:history="1">
        <w:r w:rsidR="00390DC3" w:rsidRPr="008A5B44">
          <w:rPr>
            <w:rStyle w:val="Hyperlink"/>
            <w:noProof/>
          </w:rPr>
          <w:t>Other Financial Reports</w:t>
        </w:r>
        <w:r w:rsidR="00390DC3">
          <w:rPr>
            <w:noProof/>
            <w:webHidden/>
          </w:rPr>
          <w:tab/>
        </w:r>
        <w:r w:rsidR="00390DC3">
          <w:rPr>
            <w:noProof/>
            <w:webHidden/>
          </w:rPr>
          <w:fldChar w:fldCharType="begin"/>
        </w:r>
        <w:r w:rsidR="00390DC3">
          <w:rPr>
            <w:noProof/>
            <w:webHidden/>
          </w:rPr>
          <w:instrText xml:space="preserve"> PAGEREF _Toc448404227 \h </w:instrText>
        </w:r>
        <w:r w:rsidR="00390DC3">
          <w:rPr>
            <w:noProof/>
            <w:webHidden/>
          </w:rPr>
        </w:r>
        <w:r w:rsidR="00390DC3">
          <w:rPr>
            <w:noProof/>
            <w:webHidden/>
          </w:rPr>
          <w:fldChar w:fldCharType="separate"/>
        </w:r>
        <w:r w:rsidR="006222A3">
          <w:rPr>
            <w:noProof/>
            <w:webHidden/>
          </w:rPr>
          <w:t>13</w:t>
        </w:r>
        <w:r w:rsidR="00390DC3">
          <w:rPr>
            <w:noProof/>
            <w:webHidden/>
          </w:rPr>
          <w:fldChar w:fldCharType="end"/>
        </w:r>
      </w:hyperlink>
    </w:p>
    <w:p w14:paraId="702F463A" w14:textId="77777777" w:rsidR="00390DC3" w:rsidRDefault="00472094">
      <w:pPr>
        <w:pStyle w:val="TOC2"/>
        <w:rPr>
          <w:rFonts w:asciiTheme="minorHAnsi" w:eastAsiaTheme="minorEastAsia" w:hAnsiTheme="minorHAnsi" w:cstheme="minorBidi"/>
          <w:noProof/>
          <w:sz w:val="22"/>
          <w:szCs w:val="22"/>
        </w:rPr>
      </w:pPr>
      <w:hyperlink w:anchor="_Toc448404228" w:history="1">
        <w:r w:rsidR="00390DC3" w:rsidRPr="008A5B44">
          <w:rPr>
            <w:rStyle w:val="Hyperlink"/>
            <w:noProof/>
          </w:rPr>
          <w:t>Information Technology Controls</w:t>
        </w:r>
        <w:r w:rsidR="00390DC3">
          <w:rPr>
            <w:noProof/>
            <w:webHidden/>
          </w:rPr>
          <w:tab/>
        </w:r>
        <w:r w:rsidR="00390DC3">
          <w:rPr>
            <w:noProof/>
            <w:webHidden/>
          </w:rPr>
          <w:fldChar w:fldCharType="begin"/>
        </w:r>
        <w:r w:rsidR="00390DC3">
          <w:rPr>
            <w:noProof/>
            <w:webHidden/>
          </w:rPr>
          <w:instrText xml:space="preserve"> PAGEREF _Toc448404228 \h </w:instrText>
        </w:r>
        <w:r w:rsidR="00390DC3">
          <w:rPr>
            <w:noProof/>
            <w:webHidden/>
          </w:rPr>
        </w:r>
        <w:r w:rsidR="00390DC3">
          <w:rPr>
            <w:noProof/>
            <w:webHidden/>
          </w:rPr>
          <w:fldChar w:fldCharType="separate"/>
        </w:r>
        <w:r w:rsidR="006222A3">
          <w:rPr>
            <w:noProof/>
            <w:webHidden/>
          </w:rPr>
          <w:t>13</w:t>
        </w:r>
        <w:r w:rsidR="00390DC3">
          <w:rPr>
            <w:noProof/>
            <w:webHidden/>
          </w:rPr>
          <w:fldChar w:fldCharType="end"/>
        </w:r>
      </w:hyperlink>
    </w:p>
    <w:p w14:paraId="60A61AC6" w14:textId="77777777" w:rsidR="00390DC3" w:rsidRDefault="00472094">
      <w:pPr>
        <w:pStyle w:val="TOC2"/>
        <w:rPr>
          <w:rFonts w:asciiTheme="minorHAnsi" w:eastAsiaTheme="minorEastAsia" w:hAnsiTheme="minorHAnsi" w:cstheme="minorBidi"/>
          <w:noProof/>
          <w:sz w:val="22"/>
          <w:szCs w:val="22"/>
        </w:rPr>
      </w:pPr>
      <w:hyperlink w:anchor="_Toc448404229" w:history="1">
        <w:r w:rsidR="00390DC3" w:rsidRPr="008A5B44">
          <w:rPr>
            <w:rStyle w:val="Hyperlink"/>
            <w:noProof/>
          </w:rPr>
          <w:t>Purchasing Policy</w:t>
        </w:r>
        <w:r w:rsidR="00390DC3">
          <w:rPr>
            <w:noProof/>
            <w:webHidden/>
          </w:rPr>
          <w:tab/>
        </w:r>
        <w:r w:rsidR="00390DC3">
          <w:rPr>
            <w:noProof/>
            <w:webHidden/>
          </w:rPr>
          <w:fldChar w:fldCharType="begin"/>
        </w:r>
        <w:r w:rsidR="00390DC3">
          <w:rPr>
            <w:noProof/>
            <w:webHidden/>
          </w:rPr>
          <w:instrText xml:space="preserve"> PAGEREF _Toc448404229 \h </w:instrText>
        </w:r>
        <w:r w:rsidR="00390DC3">
          <w:rPr>
            <w:noProof/>
            <w:webHidden/>
          </w:rPr>
        </w:r>
        <w:r w:rsidR="00390DC3">
          <w:rPr>
            <w:noProof/>
            <w:webHidden/>
          </w:rPr>
          <w:fldChar w:fldCharType="separate"/>
        </w:r>
        <w:r w:rsidR="006222A3">
          <w:rPr>
            <w:noProof/>
            <w:webHidden/>
          </w:rPr>
          <w:t>14</w:t>
        </w:r>
        <w:r w:rsidR="00390DC3">
          <w:rPr>
            <w:noProof/>
            <w:webHidden/>
          </w:rPr>
          <w:fldChar w:fldCharType="end"/>
        </w:r>
      </w:hyperlink>
    </w:p>
    <w:p w14:paraId="5F5E19EF" w14:textId="77777777" w:rsidR="00390DC3" w:rsidRDefault="00472094">
      <w:pPr>
        <w:pStyle w:val="TOC3"/>
        <w:rPr>
          <w:rFonts w:asciiTheme="minorHAnsi" w:eastAsiaTheme="minorEastAsia" w:hAnsiTheme="minorHAnsi" w:cstheme="minorBidi"/>
          <w:noProof/>
          <w:sz w:val="22"/>
          <w:szCs w:val="22"/>
        </w:rPr>
      </w:pPr>
      <w:hyperlink w:anchor="_Toc448404230" w:history="1">
        <w:r w:rsidR="00390DC3" w:rsidRPr="008A5B44">
          <w:rPr>
            <w:rStyle w:val="Hyperlink"/>
            <w:noProof/>
          </w:rPr>
          <w:t>Objectives of the Policy</w:t>
        </w:r>
        <w:r w:rsidR="00390DC3">
          <w:rPr>
            <w:noProof/>
            <w:webHidden/>
          </w:rPr>
          <w:tab/>
        </w:r>
        <w:r w:rsidR="00390DC3">
          <w:rPr>
            <w:noProof/>
            <w:webHidden/>
          </w:rPr>
          <w:fldChar w:fldCharType="begin"/>
        </w:r>
        <w:r w:rsidR="00390DC3">
          <w:rPr>
            <w:noProof/>
            <w:webHidden/>
          </w:rPr>
          <w:instrText xml:space="preserve"> PAGEREF _Toc448404230 \h </w:instrText>
        </w:r>
        <w:r w:rsidR="00390DC3">
          <w:rPr>
            <w:noProof/>
            <w:webHidden/>
          </w:rPr>
        </w:r>
        <w:r w:rsidR="00390DC3">
          <w:rPr>
            <w:noProof/>
            <w:webHidden/>
          </w:rPr>
          <w:fldChar w:fldCharType="separate"/>
        </w:r>
        <w:r w:rsidR="006222A3">
          <w:rPr>
            <w:noProof/>
            <w:webHidden/>
          </w:rPr>
          <w:t>14</w:t>
        </w:r>
        <w:r w:rsidR="00390DC3">
          <w:rPr>
            <w:noProof/>
            <w:webHidden/>
          </w:rPr>
          <w:fldChar w:fldCharType="end"/>
        </w:r>
      </w:hyperlink>
    </w:p>
    <w:p w14:paraId="3815D744" w14:textId="77777777" w:rsidR="00390DC3" w:rsidRDefault="00472094">
      <w:pPr>
        <w:pStyle w:val="TOC3"/>
        <w:rPr>
          <w:rFonts w:asciiTheme="minorHAnsi" w:eastAsiaTheme="minorEastAsia" w:hAnsiTheme="minorHAnsi" w:cstheme="minorBidi"/>
          <w:noProof/>
          <w:sz w:val="22"/>
          <w:szCs w:val="22"/>
        </w:rPr>
      </w:pPr>
      <w:hyperlink w:anchor="_Toc448404231" w:history="1">
        <w:r w:rsidR="00390DC3" w:rsidRPr="008A5B44">
          <w:rPr>
            <w:rStyle w:val="Hyperlink"/>
            <w:noProof/>
          </w:rPr>
          <w:t>Overview</w:t>
        </w:r>
        <w:r w:rsidR="00390DC3">
          <w:rPr>
            <w:noProof/>
            <w:webHidden/>
          </w:rPr>
          <w:tab/>
        </w:r>
        <w:r w:rsidR="00390DC3">
          <w:rPr>
            <w:noProof/>
            <w:webHidden/>
          </w:rPr>
          <w:fldChar w:fldCharType="begin"/>
        </w:r>
        <w:r w:rsidR="00390DC3">
          <w:rPr>
            <w:noProof/>
            <w:webHidden/>
          </w:rPr>
          <w:instrText xml:space="preserve"> PAGEREF _Toc448404231 \h </w:instrText>
        </w:r>
        <w:r w:rsidR="00390DC3">
          <w:rPr>
            <w:noProof/>
            <w:webHidden/>
          </w:rPr>
        </w:r>
        <w:r w:rsidR="00390DC3">
          <w:rPr>
            <w:noProof/>
            <w:webHidden/>
          </w:rPr>
          <w:fldChar w:fldCharType="separate"/>
        </w:r>
        <w:r w:rsidR="006222A3">
          <w:rPr>
            <w:noProof/>
            <w:webHidden/>
          </w:rPr>
          <w:t>14</w:t>
        </w:r>
        <w:r w:rsidR="00390DC3">
          <w:rPr>
            <w:noProof/>
            <w:webHidden/>
          </w:rPr>
          <w:fldChar w:fldCharType="end"/>
        </w:r>
      </w:hyperlink>
    </w:p>
    <w:p w14:paraId="38F025B1" w14:textId="77777777" w:rsidR="00390DC3" w:rsidRDefault="00472094">
      <w:pPr>
        <w:pStyle w:val="TOC3"/>
        <w:rPr>
          <w:rFonts w:asciiTheme="minorHAnsi" w:eastAsiaTheme="minorEastAsia" w:hAnsiTheme="minorHAnsi" w:cstheme="minorBidi"/>
          <w:noProof/>
          <w:sz w:val="22"/>
          <w:szCs w:val="22"/>
        </w:rPr>
      </w:pPr>
      <w:hyperlink w:anchor="_Toc448404232" w:history="1">
        <w:r w:rsidR="00390DC3" w:rsidRPr="008A5B44">
          <w:rPr>
            <w:rStyle w:val="Hyperlink"/>
            <w:noProof/>
          </w:rPr>
          <w:t>Responsibility for Purchasing</w:t>
        </w:r>
        <w:r w:rsidR="00390DC3">
          <w:rPr>
            <w:noProof/>
            <w:webHidden/>
          </w:rPr>
          <w:tab/>
        </w:r>
        <w:r w:rsidR="00390DC3">
          <w:rPr>
            <w:noProof/>
            <w:webHidden/>
          </w:rPr>
          <w:fldChar w:fldCharType="begin"/>
        </w:r>
        <w:r w:rsidR="00390DC3">
          <w:rPr>
            <w:noProof/>
            <w:webHidden/>
          </w:rPr>
          <w:instrText xml:space="preserve"> PAGEREF _Toc448404232 \h </w:instrText>
        </w:r>
        <w:r w:rsidR="00390DC3">
          <w:rPr>
            <w:noProof/>
            <w:webHidden/>
          </w:rPr>
        </w:r>
        <w:r w:rsidR="00390DC3">
          <w:rPr>
            <w:noProof/>
            <w:webHidden/>
          </w:rPr>
          <w:fldChar w:fldCharType="separate"/>
        </w:r>
        <w:r w:rsidR="006222A3">
          <w:rPr>
            <w:noProof/>
            <w:webHidden/>
          </w:rPr>
          <w:t>14</w:t>
        </w:r>
        <w:r w:rsidR="00390DC3">
          <w:rPr>
            <w:noProof/>
            <w:webHidden/>
          </w:rPr>
          <w:fldChar w:fldCharType="end"/>
        </w:r>
      </w:hyperlink>
    </w:p>
    <w:p w14:paraId="6FE2D6E8" w14:textId="77777777" w:rsidR="00390DC3" w:rsidRDefault="00472094">
      <w:pPr>
        <w:pStyle w:val="TOC3"/>
        <w:rPr>
          <w:rFonts w:asciiTheme="minorHAnsi" w:eastAsiaTheme="minorEastAsia" w:hAnsiTheme="minorHAnsi" w:cstheme="minorBidi"/>
          <w:noProof/>
          <w:sz w:val="22"/>
          <w:szCs w:val="22"/>
        </w:rPr>
      </w:pPr>
      <w:hyperlink w:anchor="_Toc448404233" w:history="1">
        <w:r w:rsidR="00390DC3" w:rsidRPr="008A5B44">
          <w:rPr>
            <w:rStyle w:val="Hyperlink"/>
            <w:noProof/>
          </w:rPr>
          <w:t>Ethical Conduct in Purchasing</w:t>
        </w:r>
        <w:r w:rsidR="00390DC3">
          <w:rPr>
            <w:noProof/>
            <w:webHidden/>
          </w:rPr>
          <w:tab/>
        </w:r>
        <w:r w:rsidR="00390DC3">
          <w:rPr>
            <w:noProof/>
            <w:webHidden/>
          </w:rPr>
          <w:fldChar w:fldCharType="begin"/>
        </w:r>
        <w:r w:rsidR="00390DC3">
          <w:rPr>
            <w:noProof/>
            <w:webHidden/>
          </w:rPr>
          <w:instrText xml:space="preserve"> PAGEREF _Toc448404233 \h </w:instrText>
        </w:r>
        <w:r w:rsidR="00390DC3">
          <w:rPr>
            <w:noProof/>
            <w:webHidden/>
          </w:rPr>
        </w:r>
        <w:r w:rsidR="00390DC3">
          <w:rPr>
            <w:noProof/>
            <w:webHidden/>
          </w:rPr>
          <w:fldChar w:fldCharType="separate"/>
        </w:r>
        <w:r w:rsidR="006222A3">
          <w:rPr>
            <w:noProof/>
            <w:webHidden/>
          </w:rPr>
          <w:t>14</w:t>
        </w:r>
        <w:r w:rsidR="00390DC3">
          <w:rPr>
            <w:noProof/>
            <w:webHidden/>
          </w:rPr>
          <w:fldChar w:fldCharType="end"/>
        </w:r>
      </w:hyperlink>
    </w:p>
    <w:p w14:paraId="6C5B79CA" w14:textId="77777777" w:rsidR="00390DC3" w:rsidRDefault="00472094">
      <w:pPr>
        <w:pStyle w:val="TOC3"/>
        <w:rPr>
          <w:rFonts w:asciiTheme="minorHAnsi" w:eastAsiaTheme="minorEastAsia" w:hAnsiTheme="minorHAnsi" w:cstheme="minorBidi"/>
          <w:noProof/>
          <w:sz w:val="22"/>
          <w:szCs w:val="22"/>
        </w:rPr>
      </w:pPr>
      <w:hyperlink w:anchor="_Toc448404234" w:history="1">
        <w:r w:rsidR="00390DC3" w:rsidRPr="008A5B44">
          <w:rPr>
            <w:rStyle w:val="Hyperlink"/>
            <w:noProof/>
          </w:rPr>
          <w:t>Conflicts of Interest Prohibited</w:t>
        </w:r>
        <w:r w:rsidR="00390DC3">
          <w:rPr>
            <w:noProof/>
            <w:webHidden/>
          </w:rPr>
          <w:tab/>
        </w:r>
        <w:r w:rsidR="00390DC3">
          <w:rPr>
            <w:noProof/>
            <w:webHidden/>
          </w:rPr>
          <w:fldChar w:fldCharType="begin"/>
        </w:r>
        <w:r w:rsidR="00390DC3">
          <w:rPr>
            <w:noProof/>
            <w:webHidden/>
          </w:rPr>
          <w:instrText xml:space="preserve"> PAGEREF _Toc448404234 \h </w:instrText>
        </w:r>
        <w:r w:rsidR="00390DC3">
          <w:rPr>
            <w:noProof/>
            <w:webHidden/>
          </w:rPr>
        </w:r>
        <w:r w:rsidR="00390DC3">
          <w:rPr>
            <w:noProof/>
            <w:webHidden/>
          </w:rPr>
          <w:fldChar w:fldCharType="separate"/>
        </w:r>
        <w:r w:rsidR="006222A3">
          <w:rPr>
            <w:noProof/>
            <w:webHidden/>
          </w:rPr>
          <w:t>15</w:t>
        </w:r>
        <w:r w:rsidR="00390DC3">
          <w:rPr>
            <w:noProof/>
            <w:webHidden/>
          </w:rPr>
          <w:fldChar w:fldCharType="end"/>
        </w:r>
      </w:hyperlink>
    </w:p>
    <w:p w14:paraId="0C5C2FCD" w14:textId="77777777" w:rsidR="00390DC3" w:rsidRDefault="00472094">
      <w:pPr>
        <w:pStyle w:val="TOC3"/>
        <w:rPr>
          <w:rFonts w:asciiTheme="minorHAnsi" w:eastAsiaTheme="minorEastAsia" w:hAnsiTheme="minorHAnsi" w:cstheme="minorBidi"/>
          <w:noProof/>
          <w:sz w:val="22"/>
          <w:szCs w:val="22"/>
        </w:rPr>
      </w:pPr>
      <w:hyperlink w:anchor="_Toc448404235" w:history="1">
        <w:r w:rsidR="00390DC3" w:rsidRPr="008A5B44">
          <w:rPr>
            <w:rStyle w:val="Hyperlink"/>
            <w:noProof/>
          </w:rPr>
          <w:t>Conflict of Interest</w:t>
        </w:r>
        <w:r w:rsidR="00390DC3">
          <w:rPr>
            <w:noProof/>
            <w:webHidden/>
          </w:rPr>
          <w:tab/>
        </w:r>
        <w:r w:rsidR="00390DC3">
          <w:rPr>
            <w:noProof/>
            <w:webHidden/>
          </w:rPr>
          <w:fldChar w:fldCharType="begin"/>
        </w:r>
        <w:r w:rsidR="00390DC3">
          <w:rPr>
            <w:noProof/>
            <w:webHidden/>
          </w:rPr>
          <w:instrText xml:space="preserve"> PAGEREF _Toc448404235 \h </w:instrText>
        </w:r>
        <w:r w:rsidR="00390DC3">
          <w:rPr>
            <w:noProof/>
            <w:webHidden/>
          </w:rPr>
        </w:r>
        <w:r w:rsidR="00390DC3">
          <w:rPr>
            <w:noProof/>
            <w:webHidden/>
          </w:rPr>
          <w:fldChar w:fldCharType="separate"/>
        </w:r>
        <w:r w:rsidR="006222A3">
          <w:rPr>
            <w:noProof/>
            <w:webHidden/>
          </w:rPr>
          <w:t>15</w:t>
        </w:r>
        <w:r w:rsidR="00390DC3">
          <w:rPr>
            <w:noProof/>
            <w:webHidden/>
          </w:rPr>
          <w:fldChar w:fldCharType="end"/>
        </w:r>
      </w:hyperlink>
    </w:p>
    <w:p w14:paraId="47A270DD" w14:textId="77777777" w:rsidR="00390DC3" w:rsidRDefault="00472094">
      <w:pPr>
        <w:pStyle w:val="TOC2"/>
        <w:rPr>
          <w:rFonts w:asciiTheme="minorHAnsi" w:eastAsiaTheme="minorEastAsia" w:hAnsiTheme="minorHAnsi" w:cstheme="minorBidi"/>
          <w:noProof/>
          <w:sz w:val="22"/>
          <w:szCs w:val="22"/>
        </w:rPr>
      </w:pPr>
      <w:hyperlink w:anchor="_Toc448404236" w:history="1">
        <w:r w:rsidR="00390DC3" w:rsidRPr="008A5B44">
          <w:rPr>
            <w:rStyle w:val="Hyperlink"/>
            <w:noProof/>
          </w:rPr>
          <w:t>Procurement under State or Federal Awards</w:t>
        </w:r>
        <w:r w:rsidR="00390DC3">
          <w:rPr>
            <w:noProof/>
            <w:webHidden/>
          </w:rPr>
          <w:tab/>
        </w:r>
        <w:r w:rsidR="00390DC3">
          <w:rPr>
            <w:noProof/>
            <w:webHidden/>
          </w:rPr>
          <w:fldChar w:fldCharType="begin"/>
        </w:r>
        <w:r w:rsidR="00390DC3">
          <w:rPr>
            <w:noProof/>
            <w:webHidden/>
          </w:rPr>
          <w:instrText xml:space="preserve"> PAGEREF _Toc448404236 \h </w:instrText>
        </w:r>
        <w:r w:rsidR="00390DC3">
          <w:rPr>
            <w:noProof/>
            <w:webHidden/>
          </w:rPr>
        </w:r>
        <w:r w:rsidR="00390DC3">
          <w:rPr>
            <w:noProof/>
            <w:webHidden/>
          </w:rPr>
          <w:fldChar w:fldCharType="separate"/>
        </w:r>
        <w:r w:rsidR="006222A3">
          <w:rPr>
            <w:noProof/>
            <w:webHidden/>
          </w:rPr>
          <w:t>15</w:t>
        </w:r>
        <w:r w:rsidR="00390DC3">
          <w:rPr>
            <w:noProof/>
            <w:webHidden/>
          </w:rPr>
          <w:fldChar w:fldCharType="end"/>
        </w:r>
      </w:hyperlink>
    </w:p>
    <w:p w14:paraId="3DD09A43" w14:textId="77777777" w:rsidR="00390DC3" w:rsidRDefault="00472094">
      <w:pPr>
        <w:pStyle w:val="TOC2"/>
        <w:rPr>
          <w:rFonts w:asciiTheme="minorHAnsi" w:eastAsiaTheme="minorEastAsia" w:hAnsiTheme="minorHAnsi" w:cstheme="minorBidi"/>
          <w:noProof/>
          <w:sz w:val="22"/>
          <w:szCs w:val="22"/>
        </w:rPr>
      </w:pPr>
      <w:hyperlink w:anchor="_Toc448404237" w:history="1">
        <w:r w:rsidR="00390DC3" w:rsidRPr="008A5B44">
          <w:rPr>
            <w:rStyle w:val="Hyperlink"/>
            <w:noProof/>
          </w:rPr>
          <w:t>General Procurement Standards</w:t>
        </w:r>
        <w:r w:rsidR="00390DC3">
          <w:rPr>
            <w:noProof/>
            <w:webHidden/>
          </w:rPr>
          <w:tab/>
        </w:r>
        <w:r w:rsidR="00390DC3">
          <w:rPr>
            <w:noProof/>
            <w:webHidden/>
          </w:rPr>
          <w:fldChar w:fldCharType="begin"/>
        </w:r>
        <w:r w:rsidR="00390DC3">
          <w:rPr>
            <w:noProof/>
            <w:webHidden/>
          </w:rPr>
          <w:instrText xml:space="preserve"> PAGEREF _Toc448404237 \h </w:instrText>
        </w:r>
        <w:r w:rsidR="00390DC3">
          <w:rPr>
            <w:noProof/>
            <w:webHidden/>
          </w:rPr>
        </w:r>
        <w:r w:rsidR="00390DC3">
          <w:rPr>
            <w:noProof/>
            <w:webHidden/>
          </w:rPr>
          <w:fldChar w:fldCharType="separate"/>
        </w:r>
        <w:r w:rsidR="006222A3">
          <w:rPr>
            <w:noProof/>
            <w:webHidden/>
          </w:rPr>
          <w:t>16</w:t>
        </w:r>
        <w:r w:rsidR="00390DC3">
          <w:rPr>
            <w:noProof/>
            <w:webHidden/>
          </w:rPr>
          <w:fldChar w:fldCharType="end"/>
        </w:r>
      </w:hyperlink>
    </w:p>
    <w:p w14:paraId="06BADD3A" w14:textId="77777777" w:rsidR="00390DC3" w:rsidRDefault="00472094">
      <w:pPr>
        <w:pStyle w:val="TOC2"/>
        <w:rPr>
          <w:rFonts w:asciiTheme="minorHAnsi" w:eastAsiaTheme="minorEastAsia" w:hAnsiTheme="minorHAnsi" w:cstheme="minorBidi"/>
          <w:noProof/>
          <w:sz w:val="22"/>
          <w:szCs w:val="22"/>
        </w:rPr>
      </w:pPr>
      <w:hyperlink w:anchor="_Toc448404238" w:history="1">
        <w:r w:rsidR="00390DC3" w:rsidRPr="008A5B44">
          <w:rPr>
            <w:rStyle w:val="Hyperlink"/>
            <w:rFonts w:cs="Arial"/>
            <w:noProof/>
          </w:rPr>
          <w:t>Competition</w:t>
        </w:r>
        <w:r w:rsidR="00390DC3">
          <w:rPr>
            <w:noProof/>
            <w:webHidden/>
          </w:rPr>
          <w:tab/>
        </w:r>
        <w:r w:rsidR="00390DC3">
          <w:rPr>
            <w:noProof/>
            <w:webHidden/>
          </w:rPr>
          <w:fldChar w:fldCharType="begin"/>
        </w:r>
        <w:r w:rsidR="00390DC3">
          <w:rPr>
            <w:noProof/>
            <w:webHidden/>
          </w:rPr>
          <w:instrText xml:space="preserve"> PAGEREF _Toc448404238 \h </w:instrText>
        </w:r>
        <w:r w:rsidR="00390DC3">
          <w:rPr>
            <w:noProof/>
            <w:webHidden/>
          </w:rPr>
        </w:r>
        <w:r w:rsidR="00390DC3">
          <w:rPr>
            <w:noProof/>
            <w:webHidden/>
          </w:rPr>
          <w:fldChar w:fldCharType="separate"/>
        </w:r>
        <w:r w:rsidR="006222A3">
          <w:rPr>
            <w:noProof/>
            <w:webHidden/>
          </w:rPr>
          <w:t>17</w:t>
        </w:r>
        <w:r w:rsidR="00390DC3">
          <w:rPr>
            <w:noProof/>
            <w:webHidden/>
          </w:rPr>
          <w:fldChar w:fldCharType="end"/>
        </w:r>
      </w:hyperlink>
    </w:p>
    <w:p w14:paraId="49C5A83A" w14:textId="77777777" w:rsidR="00390DC3" w:rsidRDefault="00472094">
      <w:pPr>
        <w:pStyle w:val="TOC2"/>
        <w:rPr>
          <w:rFonts w:asciiTheme="minorHAnsi" w:eastAsiaTheme="minorEastAsia" w:hAnsiTheme="minorHAnsi" w:cstheme="minorBidi"/>
          <w:noProof/>
          <w:sz w:val="22"/>
          <w:szCs w:val="22"/>
        </w:rPr>
      </w:pPr>
      <w:hyperlink w:anchor="_Toc448404239" w:history="1">
        <w:r w:rsidR="00390DC3" w:rsidRPr="008A5B44">
          <w:rPr>
            <w:rStyle w:val="Hyperlink"/>
            <w:noProof/>
          </w:rPr>
          <w:t>Purchase Thresholds</w:t>
        </w:r>
        <w:r w:rsidR="00390DC3">
          <w:rPr>
            <w:noProof/>
            <w:webHidden/>
          </w:rPr>
          <w:tab/>
        </w:r>
        <w:r w:rsidR="00390DC3">
          <w:rPr>
            <w:noProof/>
            <w:webHidden/>
          </w:rPr>
          <w:fldChar w:fldCharType="begin"/>
        </w:r>
        <w:r w:rsidR="00390DC3">
          <w:rPr>
            <w:noProof/>
            <w:webHidden/>
          </w:rPr>
          <w:instrText xml:space="preserve"> PAGEREF _Toc448404239 \h </w:instrText>
        </w:r>
        <w:r w:rsidR="00390DC3">
          <w:rPr>
            <w:noProof/>
            <w:webHidden/>
          </w:rPr>
        </w:r>
        <w:r w:rsidR="00390DC3">
          <w:rPr>
            <w:noProof/>
            <w:webHidden/>
          </w:rPr>
          <w:fldChar w:fldCharType="separate"/>
        </w:r>
        <w:r w:rsidR="006222A3">
          <w:rPr>
            <w:noProof/>
            <w:webHidden/>
          </w:rPr>
          <w:t>17</w:t>
        </w:r>
        <w:r w:rsidR="00390DC3">
          <w:rPr>
            <w:noProof/>
            <w:webHidden/>
          </w:rPr>
          <w:fldChar w:fldCharType="end"/>
        </w:r>
      </w:hyperlink>
    </w:p>
    <w:p w14:paraId="3ED38EB7" w14:textId="77777777" w:rsidR="00390DC3" w:rsidRDefault="00472094">
      <w:pPr>
        <w:pStyle w:val="TOC3"/>
        <w:rPr>
          <w:rFonts w:asciiTheme="minorHAnsi" w:eastAsiaTheme="minorEastAsia" w:hAnsiTheme="minorHAnsi" w:cstheme="minorBidi"/>
          <w:noProof/>
          <w:sz w:val="22"/>
          <w:szCs w:val="22"/>
        </w:rPr>
      </w:pPr>
      <w:hyperlink w:anchor="_Toc448404240" w:history="1">
        <w:r w:rsidR="00390DC3" w:rsidRPr="008A5B44">
          <w:rPr>
            <w:rStyle w:val="Hyperlink"/>
            <w:noProof/>
          </w:rPr>
          <w:t>Exceptions to Competitive Bidding</w:t>
        </w:r>
        <w:r w:rsidR="00390DC3">
          <w:rPr>
            <w:noProof/>
            <w:webHidden/>
          </w:rPr>
          <w:tab/>
        </w:r>
        <w:r w:rsidR="00390DC3">
          <w:rPr>
            <w:noProof/>
            <w:webHidden/>
          </w:rPr>
          <w:fldChar w:fldCharType="begin"/>
        </w:r>
        <w:r w:rsidR="00390DC3">
          <w:rPr>
            <w:noProof/>
            <w:webHidden/>
          </w:rPr>
          <w:instrText xml:space="preserve"> PAGEREF _Toc448404240 \h </w:instrText>
        </w:r>
        <w:r w:rsidR="00390DC3">
          <w:rPr>
            <w:noProof/>
            <w:webHidden/>
          </w:rPr>
        </w:r>
        <w:r w:rsidR="00390DC3">
          <w:rPr>
            <w:noProof/>
            <w:webHidden/>
          </w:rPr>
          <w:fldChar w:fldCharType="separate"/>
        </w:r>
        <w:r w:rsidR="006222A3">
          <w:rPr>
            <w:noProof/>
            <w:webHidden/>
          </w:rPr>
          <w:t>18</w:t>
        </w:r>
        <w:r w:rsidR="00390DC3">
          <w:rPr>
            <w:noProof/>
            <w:webHidden/>
          </w:rPr>
          <w:fldChar w:fldCharType="end"/>
        </w:r>
      </w:hyperlink>
    </w:p>
    <w:p w14:paraId="5516CD8F" w14:textId="77777777" w:rsidR="00390DC3" w:rsidRDefault="00472094">
      <w:pPr>
        <w:pStyle w:val="TOC3"/>
        <w:rPr>
          <w:rFonts w:asciiTheme="minorHAnsi" w:eastAsiaTheme="minorEastAsia" w:hAnsiTheme="minorHAnsi" w:cstheme="minorBidi"/>
          <w:noProof/>
          <w:sz w:val="22"/>
          <w:szCs w:val="22"/>
        </w:rPr>
      </w:pPr>
      <w:hyperlink w:anchor="_Toc448404241" w:history="1">
        <w:r w:rsidR="00390DC3" w:rsidRPr="008A5B44">
          <w:rPr>
            <w:rStyle w:val="Hyperlink"/>
            <w:noProof/>
          </w:rPr>
          <w:t>Minority Businesses and Woman-Owned Businesses</w:t>
        </w:r>
        <w:r w:rsidR="00390DC3">
          <w:rPr>
            <w:noProof/>
            <w:webHidden/>
          </w:rPr>
          <w:tab/>
        </w:r>
        <w:r w:rsidR="00390DC3">
          <w:rPr>
            <w:noProof/>
            <w:webHidden/>
          </w:rPr>
          <w:fldChar w:fldCharType="begin"/>
        </w:r>
        <w:r w:rsidR="00390DC3">
          <w:rPr>
            <w:noProof/>
            <w:webHidden/>
          </w:rPr>
          <w:instrText xml:space="preserve"> PAGEREF _Toc448404241 \h </w:instrText>
        </w:r>
        <w:r w:rsidR="00390DC3">
          <w:rPr>
            <w:noProof/>
            <w:webHidden/>
          </w:rPr>
        </w:r>
        <w:r w:rsidR="00390DC3">
          <w:rPr>
            <w:noProof/>
            <w:webHidden/>
          </w:rPr>
          <w:fldChar w:fldCharType="separate"/>
        </w:r>
        <w:r w:rsidR="006222A3">
          <w:rPr>
            <w:noProof/>
            <w:webHidden/>
          </w:rPr>
          <w:t>18</w:t>
        </w:r>
        <w:r w:rsidR="00390DC3">
          <w:rPr>
            <w:noProof/>
            <w:webHidden/>
          </w:rPr>
          <w:fldChar w:fldCharType="end"/>
        </w:r>
      </w:hyperlink>
    </w:p>
    <w:p w14:paraId="66D8C0F0" w14:textId="77777777" w:rsidR="00390DC3" w:rsidRDefault="00472094">
      <w:pPr>
        <w:pStyle w:val="TOC3"/>
        <w:rPr>
          <w:rFonts w:asciiTheme="minorHAnsi" w:eastAsiaTheme="minorEastAsia" w:hAnsiTheme="minorHAnsi" w:cstheme="minorBidi"/>
          <w:noProof/>
          <w:sz w:val="22"/>
          <w:szCs w:val="22"/>
        </w:rPr>
      </w:pPr>
      <w:hyperlink w:anchor="_Toc448404242" w:history="1">
        <w:r w:rsidR="00390DC3" w:rsidRPr="008A5B44">
          <w:rPr>
            <w:rStyle w:val="Hyperlink"/>
            <w:noProof/>
          </w:rPr>
          <w:t>Uncertainties and Violations</w:t>
        </w:r>
        <w:r w:rsidR="00390DC3">
          <w:rPr>
            <w:noProof/>
            <w:webHidden/>
          </w:rPr>
          <w:tab/>
        </w:r>
        <w:r w:rsidR="00390DC3">
          <w:rPr>
            <w:noProof/>
            <w:webHidden/>
          </w:rPr>
          <w:fldChar w:fldCharType="begin"/>
        </w:r>
        <w:r w:rsidR="00390DC3">
          <w:rPr>
            <w:noProof/>
            <w:webHidden/>
          </w:rPr>
          <w:instrText xml:space="preserve"> PAGEREF _Toc448404242 \h </w:instrText>
        </w:r>
        <w:r w:rsidR="00390DC3">
          <w:rPr>
            <w:noProof/>
            <w:webHidden/>
          </w:rPr>
        </w:r>
        <w:r w:rsidR="00390DC3">
          <w:rPr>
            <w:noProof/>
            <w:webHidden/>
          </w:rPr>
          <w:fldChar w:fldCharType="separate"/>
        </w:r>
        <w:r w:rsidR="006222A3">
          <w:rPr>
            <w:noProof/>
            <w:webHidden/>
          </w:rPr>
          <w:t>19</w:t>
        </w:r>
        <w:r w:rsidR="00390DC3">
          <w:rPr>
            <w:noProof/>
            <w:webHidden/>
          </w:rPr>
          <w:fldChar w:fldCharType="end"/>
        </w:r>
      </w:hyperlink>
    </w:p>
    <w:p w14:paraId="246E96CC" w14:textId="77777777" w:rsidR="00390DC3" w:rsidRDefault="00472094">
      <w:pPr>
        <w:pStyle w:val="TOC2"/>
        <w:rPr>
          <w:rFonts w:asciiTheme="minorHAnsi" w:eastAsiaTheme="minorEastAsia" w:hAnsiTheme="minorHAnsi" w:cstheme="minorBidi"/>
          <w:noProof/>
          <w:sz w:val="22"/>
          <w:szCs w:val="22"/>
        </w:rPr>
      </w:pPr>
      <w:hyperlink w:anchor="_Toc448404243" w:history="1">
        <w:r w:rsidR="00390DC3" w:rsidRPr="008A5B44">
          <w:rPr>
            <w:rStyle w:val="Hyperlink"/>
            <w:noProof/>
          </w:rPr>
          <w:t>Program Income</w:t>
        </w:r>
        <w:r w:rsidR="00390DC3">
          <w:rPr>
            <w:noProof/>
            <w:webHidden/>
          </w:rPr>
          <w:tab/>
        </w:r>
        <w:r w:rsidR="00390DC3">
          <w:rPr>
            <w:noProof/>
            <w:webHidden/>
          </w:rPr>
          <w:fldChar w:fldCharType="begin"/>
        </w:r>
        <w:r w:rsidR="00390DC3">
          <w:rPr>
            <w:noProof/>
            <w:webHidden/>
          </w:rPr>
          <w:instrText xml:space="preserve"> PAGEREF _Toc448404243 \h </w:instrText>
        </w:r>
        <w:r w:rsidR="00390DC3">
          <w:rPr>
            <w:noProof/>
            <w:webHidden/>
          </w:rPr>
        </w:r>
        <w:r w:rsidR="00390DC3">
          <w:rPr>
            <w:noProof/>
            <w:webHidden/>
          </w:rPr>
          <w:fldChar w:fldCharType="separate"/>
        </w:r>
        <w:r w:rsidR="006222A3">
          <w:rPr>
            <w:noProof/>
            <w:webHidden/>
          </w:rPr>
          <w:t>19</w:t>
        </w:r>
        <w:r w:rsidR="00390DC3">
          <w:rPr>
            <w:noProof/>
            <w:webHidden/>
          </w:rPr>
          <w:fldChar w:fldCharType="end"/>
        </w:r>
      </w:hyperlink>
    </w:p>
    <w:p w14:paraId="419BE142" w14:textId="77777777" w:rsidR="00390DC3" w:rsidRDefault="00472094">
      <w:pPr>
        <w:pStyle w:val="TOC2"/>
        <w:rPr>
          <w:rFonts w:asciiTheme="minorHAnsi" w:eastAsiaTheme="minorEastAsia" w:hAnsiTheme="minorHAnsi" w:cstheme="minorBidi"/>
          <w:noProof/>
          <w:sz w:val="22"/>
          <w:szCs w:val="22"/>
        </w:rPr>
      </w:pPr>
      <w:hyperlink w:anchor="_Toc448404244" w:history="1">
        <w:r w:rsidR="00390DC3" w:rsidRPr="008A5B44">
          <w:rPr>
            <w:rStyle w:val="Hyperlink"/>
            <w:noProof/>
          </w:rPr>
          <w:t>Property and Equipment</w:t>
        </w:r>
        <w:r w:rsidR="00390DC3">
          <w:rPr>
            <w:noProof/>
            <w:webHidden/>
          </w:rPr>
          <w:tab/>
        </w:r>
        <w:r w:rsidR="00390DC3">
          <w:rPr>
            <w:noProof/>
            <w:webHidden/>
          </w:rPr>
          <w:fldChar w:fldCharType="begin"/>
        </w:r>
        <w:r w:rsidR="00390DC3">
          <w:rPr>
            <w:noProof/>
            <w:webHidden/>
          </w:rPr>
          <w:instrText xml:space="preserve"> PAGEREF _Toc448404244 \h </w:instrText>
        </w:r>
        <w:r w:rsidR="00390DC3">
          <w:rPr>
            <w:noProof/>
            <w:webHidden/>
          </w:rPr>
        </w:r>
        <w:r w:rsidR="00390DC3">
          <w:rPr>
            <w:noProof/>
            <w:webHidden/>
          </w:rPr>
          <w:fldChar w:fldCharType="separate"/>
        </w:r>
        <w:r w:rsidR="006222A3">
          <w:rPr>
            <w:noProof/>
            <w:webHidden/>
          </w:rPr>
          <w:t>19</w:t>
        </w:r>
        <w:r w:rsidR="00390DC3">
          <w:rPr>
            <w:noProof/>
            <w:webHidden/>
          </w:rPr>
          <w:fldChar w:fldCharType="end"/>
        </w:r>
      </w:hyperlink>
    </w:p>
    <w:p w14:paraId="141D6FF4" w14:textId="77777777" w:rsidR="00390DC3" w:rsidRDefault="00472094">
      <w:pPr>
        <w:pStyle w:val="TOC2"/>
        <w:rPr>
          <w:rFonts w:asciiTheme="minorHAnsi" w:eastAsiaTheme="minorEastAsia" w:hAnsiTheme="minorHAnsi" w:cstheme="minorBidi"/>
          <w:noProof/>
          <w:sz w:val="22"/>
          <w:szCs w:val="22"/>
        </w:rPr>
      </w:pPr>
      <w:hyperlink w:anchor="_Toc448404245" w:history="1">
        <w:r w:rsidR="00390DC3" w:rsidRPr="008A5B44">
          <w:rPr>
            <w:rStyle w:val="Hyperlink"/>
            <w:noProof/>
          </w:rPr>
          <w:t>Personnel Records</w:t>
        </w:r>
        <w:r w:rsidR="00390DC3">
          <w:rPr>
            <w:noProof/>
            <w:webHidden/>
          </w:rPr>
          <w:tab/>
        </w:r>
        <w:r w:rsidR="00390DC3">
          <w:rPr>
            <w:noProof/>
            <w:webHidden/>
          </w:rPr>
          <w:fldChar w:fldCharType="begin"/>
        </w:r>
        <w:r w:rsidR="00390DC3">
          <w:rPr>
            <w:noProof/>
            <w:webHidden/>
          </w:rPr>
          <w:instrText xml:space="preserve"> PAGEREF _Toc448404245 \h </w:instrText>
        </w:r>
        <w:r w:rsidR="00390DC3">
          <w:rPr>
            <w:noProof/>
            <w:webHidden/>
          </w:rPr>
        </w:r>
        <w:r w:rsidR="00390DC3">
          <w:rPr>
            <w:noProof/>
            <w:webHidden/>
          </w:rPr>
          <w:fldChar w:fldCharType="separate"/>
        </w:r>
        <w:r w:rsidR="006222A3">
          <w:rPr>
            <w:noProof/>
            <w:webHidden/>
          </w:rPr>
          <w:t>20</w:t>
        </w:r>
        <w:r w:rsidR="00390DC3">
          <w:rPr>
            <w:noProof/>
            <w:webHidden/>
          </w:rPr>
          <w:fldChar w:fldCharType="end"/>
        </w:r>
      </w:hyperlink>
    </w:p>
    <w:p w14:paraId="485CA85A" w14:textId="77777777" w:rsidR="00390DC3" w:rsidRDefault="00472094">
      <w:pPr>
        <w:pStyle w:val="TOC2"/>
        <w:rPr>
          <w:rFonts w:asciiTheme="minorHAnsi" w:eastAsiaTheme="minorEastAsia" w:hAnsiTheme="minorHAnsi" w:cstheme="minorBidi"/>
          <w:noProof/>
          <w:sz w:val="22"/>
          <w:szCs w:val="22"/>
        </w:rPr>
      </w:pPr>
      <w:hyperlink w:anchor="_Toc448404246" w:history="1">
        <w:r w:rsidR="00390DC3" w:rsidRPr="008A5B44">
          <w:rPr>
            <w:rStyle w:val="Hyperlink"/>
            <w:noProof/>
          </w:rPr>
          <w:t>Reports to Funding Agencies and Organizations</w:t>
        </w:r>
        <w:r w:rsidR="00390DC3">
          <w:rPr>
            <w:noProof/>
            <w:webHidden/>
          </w:rPr>
          <w:tab/>
        </w:r>
        <w:r w:rsidR="00390DC3">
          <w:rPr>
            <w:noProof/>
            <w:webHidden/>
          </w:rPr>
          <w:fldChar w:fldCharType="begin"/>
        </w:r>
        <w:r w:rsidR="00390DC3">
          <w:rPr>
            <w:noProof/>
            <w:webHidden/>
          </w:rPr>
          <w:instrText xml:space="preserve"> PAGEREF _Toc448404246 \h </w:instrText>
        </w:r>
        <w:r w:rsidR="00390DC3">
          <w:rPr>
            <w:noProof/>
            <w:webHidden/>
          </w:rPr>
        </w:r>
        <w:r w:rsidR="00390DC3">
          <w:rPr>
            <w:noProof/>
            <w:webHidden/>
          </w:rPr>
          <w:fldChar w:fldCharType="separate"/>
        </w:r>
        <w:r w:rsidR="006222A3">
          <w:rPr>
            <w:noProof/>
            <w:webHidden/>
          </w:rPr>
          <w:t>21</w:t>
        </w:r>
        <w:r w:rsidR="00390DC3">
          <w:rPr>
            <w:noProof/>
            <w:webHidden/>
          </w:rPr>
          <w:fldChar w:fldCharType="end"/>
        </w:r>
      </w:hyperlink>
    </w:p>
    <w:p w14:paraId="25B34DD4" w14:textId="77777777" w:rsidR="00390DC3" w:rsidRDefault="00472094">
      <w:pPr>
        <w:pStyle w:val="TOC1"/>
        <w:rPr>
          <w:rFonts w:asciiTheme="minorHAnsi" w:eastAsiaTheme="minorEastAsia" w:hAnsiTheme="minorHAnsi" w:cstheme="minorBidi"/>
          <w:noProof/>
          <w:sz w:val="22"/>
          <w:szCs w:val="22"/>
        </w:rPr>
      </w:pPr>
      <w:hyperlink w:anchor="_Toc448404247" w:history="1">
        <w:r w:rsidR="00390DC3" w:rsidRPr="008A5B44">
          <w:rPr>
            <w:rStyle w:val="Hyperlink"/>
            <w:noProof/>
          </w:rPr>
          <w:t>Appendix I Sample Forms and Other Attachments</w:t>
        </w:r>
        <w:r w:rsidR="00390DC3">
          <w:rPr>
            <w:noProof/>
            <w:webHidden/>
          </w:rPr>
          <w:tab/>
        </w:r>
        <w:r w:rsidR="00390DC3">
          <w:rPr>
            <w:noProof/>
            <w:webHidden/>
          </w:rPr>
          <w:fldChar w:fldCharType="begin"/>
        </w:r>
        <w:r w:rsidR="00390DC3">
          <w:rPr>
            <w:noProof/>
            <w:webHidden/>
          </w:rPr>
          <w:instrText xml:space="preserve"> PAGEREF _Toc448404247 \h </w:instrText>
        </w:r>
        <w:r w:rsidR="00390DC3">
          <w:rPr>
            <w:noProof/>
            <w:webHidden/>
          </w:rPr>
        </w:r>
        <w:r w:rsidR="00390DC3">
          <w:rPr>
            <w:noProof/>
            <w:webHidden/>
          </w:rPr>
          <w:fldChar w:fldCharType="separate"/>
        </w:r>
        <w:r w:rsidR="006222A3">
          <w:rPr>
            <w:noProof/>
            <w:webHidden/>
          </w:rPr>
          <w:t>22</w:t>
        </w:r>
        <w:r w:rsidR="00390DC3">
          <w:rPr>
            <w:noProof/>
            <w:webHidden/>
          </w:rPr>
          <w:fldChar w:fldCharType="end"/>
        </w:r>
      </w:hyperlink>
    </w:p>
    <w:p w14:paraId="6ABD7C47" w14:textId="77777777" w:rsidR="00390DC3" w:rsidRDefault="00472094">
      <w:pPr>
        <w:pStyle w:val="TOC1"/>
        <w:rPr>
          <w:rFonts w:asciiTheme="minorHAnsi" w:eastAsiaTheme="minorEastAsia" w:hAnsiTheme="minorHAnsi" w:cstheme="minorBidi"/>
          <w:noProof/>
          <w:sz w:val="22"/>
          <w:szCs w:val="22"/>
        </w:rPr>
      </w:pPr>
      <w:hyperlink w:anchor="_Toc448404248" w:history="1">
        <w:r w:rsidR="00390DC3" w:rsidRPr="008A5B44">
          <w:rPr>
            <w:rStyle w:val="Hyperlink"/>
            <w:noProof/>
          </w:rPr>
          <w:t>Appendix II Compliance with Uniform Guidance and HHS Regulations</w:t>
        </w:r>
        <w:r w:rsidR="00390DC3">
          <w:rPr>
            <w:noProof/>
            <w:webHidden/>
          </w:rPr>
          <w:tab/>
        </w:r>
        <w:r w:rsidR="00390DC3">
          <w:rPr>
            <w:noProof/>
            <w:webHidden/>
          </w:rPr>
          <w:fldChar w:fldCharType="begin"/>
        </w:r>
        <w:r w:rsidR="00390DC3">
          <w:rPr>
            <w:noProof/>
            <w:webHidden/>
          </w:rPr>
          <w:instrText xml:space="preserve"> PAGEREF _Toc448404248 \h </w:instrText>
        </w:r>
        <w:r w:rsidR="00390DC3">
          <w:rPr>
            <w:noProof/>
            <w:webHidden/>
          </w:rPr>
        </w:r>
        <w:r w:rsidR="00390DC3">
          <w:rPr>
            <w:noProof/>
            <w:webHidden/>
          </w:rPr>
          <w:fldChar w:fldCharType="separate"/>
        </w:r>
        <w:r w:rsidR="006222A3">
          <w:rPr>
            <w:noProof/>
            <w:webHidden/>
          </w:rPr>
          <w:t>23</w:t>
        </w:r>
        <w:r w:rsidR="00390DC3">
          <w:rPr>
            <w:noProof/>
            <w:webHidden/>
          </w:rPr>
          <w:fldChar w:fldCharType="end"/>
        </w:r>
      </w:hyperlink>
    </w:p>
    <w:p w14:paraId="0255ADD4" w14:textId="77777777" w:rsidR="00390DC3" w:rsidRDefault="00472094">
      <w:pPr>
        <w:pStyle w:val="TOC2"/>
        <w:rPr>
          <w:rFonts w:asciiTheme="minorHAnsi" w:eastAsiaTheme="minorEastAsia" w:hAnsiTheme="minorHAnsi" w:cstheme="minorBidi"/>
          <w:noProof/>
          <w:sz w:val="22"/>
          <w:szCs w:val="22"/>
        </w:rPr>
      </w:pPr>
      <w:hyperlink w:anchor="_Toc448404249" w:history="1">
        <w:r w:rsidR="00390DC3" w:rsidRPr="008A5B44">
          <w:rPr>
            <w:rStyle w:val="Hyperlink"/>
            <w:noProof/>
          </w:rPr>
          <w:t>Supporting Documentation</w:t>
        </w:r>
        <w:r w:rsidR="00390DC3">
          <w:rPr>
            <w:noProof/>
            <w:webHidden/>
          </w:rPr>
          <w:tab/>
        </w:r>
        <w:r w:rsidR="00390DC3">
          <w:rPr>
            <w:noProof/>
            <w:webHidden/>
          </w:rPr>
          <w:fldChar w:fldCharType="begin"/>
        </w:r>
        <w:r w:rsidR="00390DC3">
          <w:rPr>
            <w:noProof/>
            <w:webHidden/>
          </w:rPr>
          <w:instrText xml:space="preserve"> PAGEREF _Toc448404249 \h </w:instrText>
        </w:r>
        <w:r w:rsidR="00390DC3">
          <w:rPr>
            <w:noProof/>
            <w:webHidden/>
          </w:rPr>
        </w:r>
        <w:r w:rsidR="00390DC3">
          <w:rPr>
            <w:noProof/>
            <w:webHidden/>
          </w:rPr>
          <w:fldChar w:fldCharType="separate"/>
        </w:r>
        <w:r w:rsidR="006222A3">
          <w:rPr>
            <w:noProof/>
            <w:webHidden/>
          </w:rPr>
          <w:t>23</w:t>
        </w:r>
        <w:r w:rsidR="00390DC3">
          <w:rPr>
            <w:noProof/>
            <w:webHidden/>
          </w:rPr>
          <w:fldChar w:fldCharType="end"/>
        </w:r>
      </w:hyperlink>
    </w:p>
    <w:p w14:paraId="2BFA3F10" w14:textId="77777777" w:rsidR="00390DC3" w:rsidRDefault="00472094">
      <w:pPr>
        <w:pStyle w:val="TOC2"/>
        <w:rPr>
          <w:rFonts w:asciiTheme="minorHAnsi" w:eastAsiaTheme="minorEastAsia" w:hAnsiTheme="minorHAnsi" w:cstheme="minorBidi"/>
          <w:noProof/>
          <w:sz w:val="22"/>
          <w:szCs w:val="22"/>
        </w:rPr>
      </w:pPr>
      <w:hyperlink w:anchor="_Toc448404250" w:history="1">
        <w:r w:rsidR="00390DC3" w:rsidRPr="008A5B44">
          <w:rPr>
            <w:rStyle w:val="Hyperlink"/>
            <w:noProof/>
          </w:rPr>
          <w:t>Allowability of Costs (based on Uniform Guidance 200.403)</w:t>
        </w:r>
        <w:r w:rsidR="00390DC3">
          <w:rPr>
            <w:noProof/>
            <w:webHidden/>
          </w:rPr>
          <w:tab/>
        </w:r>
        <w:r w:rsidR="00390DC3">
          <w:rPr>
            <w:noProof/>
            <w:webHidden/>
          </w:rPr>
          <w:fldChar w:fldCharType="begin"/>
        </w:r>
        <w:r w:rsidR="00390DC3">
          <w:rPr>
            <w:noProof/>
            <w:webHidden/>
          </w:rPr>
          <w:instrText xml:space="preserve"> PAGEREF _Toc448404250 \h </w:instrText>
        </w:r>
        <w:r w:rsidR="00390DC3">
          <w:rPr>
            <w:noProof/>
            <w:webHidden/>
          </w:rPr>
        </w:r>
        <w:r w:rsidR="00390DC3">
          <w:rPr>
            <w:noProof/>
            <w:webHidden/>
          </w:rPr>
          <w:fldChar w:fldCharType="separate"/>
        </w:r>
        <w:r w:rsidR="006222A3">
          <w:rPr>
            <w:noProof/>
            <w:webHidden/>
          </w:rPr>
          <w:t>23</w:t>
        </w:r>
        <w:r w:rsidR="00390DC3">
          <w:rPr>
            <w:noProof/>
            <w:webHidden/>
          </w:rPr>
          <w:fldChar w:fldCharType="end"/>
        </w:r>
      </w:hyperlink>
    </w:p>
    <w:p w14:paraId="3A520043" w14:textId="77777777" w:rsidR="00390DC3" w:rsidRDefault="00472094">
      <w:pPr>
        <w:pStyle w:val="TOC2"/>
        <w:rPr>
          <w:rFonts w:asciiTheme="minorHAnsi" w:eastAsiaTheme="minorEastAsia" w:hAnsiTheme="minorHAnsi" w:cstheme="minorBidi"/>
          <w:noProof/>
          <w:sz w:val="22"/>
          <w:szCs w:val="22"/>
        </w:rPr>
      </w:pPr>
      <w:hyperlink w:anchor="_Toc448404251" w:history="1">
        <w:r w:rsidR="00390DC3" w:rsidRPr="008A5B44">
          <w:rPr>
            <w:rStyle w:val="Hyperlink"/>
            <w:noProof/>
          </w:rPr>
          <w:t>Reasonable Costs (based on Uniform Guidance 200.404)</w:t>
        </w:r>
        <w:r w:rsidR="00390DC3">
          <w:rPr>
            <w:noProof/>
            <w:webHidden/>
          </w:rPr>
          <w:tab/>
        </w:r>
        <w:r w:rsidR="00390DC3">
          <w:rPr>
            <w:noProof/>
            <w:webHidden/>
          </w:rPr>
          <w:fldChar w:fldCharType="begin"/>
        </w:r>
        <w:r w:rsidR="00390DC3">
          <w:rPr>
            <w:noProof/>
            <w:webHidden/>
          </w:rPr>
          <w:instrText xml:space="preserve"> PAGEREF _Toc448404251 \h </w:instrText>
        </w:r>
        <w:r w:rsidR="00390DC3">
          <w:rPr>
            <w:noProof/>
            <w:webHidden/>
          </w:rPr>
        </w:r>
        <w:r w:rsidR="00390DC3">
          <w:rPr>
            <w:noProof/>
            <w:webHidden/>
          </w:rPr>
          <w:fldChar w:fldCharType="separate"/>
        </w:r>
        <w:r w:rsidR="006222A3">
          <w:rPr>
            <w:noProof/>
            <w:webHidden/>
          </w:rPr>
          <w:t>23</w:t>
        </w:r>
        <w:r w:rsidR="00390DC3">
          <w:rPr>
            <w:noProof/>
            <w:webHidden/>
          </w:rPr>
          <w:fldChar w:fldCharType="end"/>
        </w:r>
      </w:hyperlink>
    </w:p>
    <w:p w14:paraId="76E0E4B3" w14:textId="77777777" w:rsidR="00390DC3" w:rsidRDefault="00472094">
      <w:pPr>
        <w:pStyle w:val="TOC2"/>
        <w:rPr>
          <w:rFonts w:asciiTheme="minorHAnsi" w:eastAsiaTheme="minorEastAsia" w:hAnsiTheme="minorHAnsi" w:cstheme="minorBidi"/>
          <w:noProof/>
          <w:sz w:val="22"/>
          <w:szCs w:val="22"/>
        </w:rPr>
      </w:pPr>
      <w:hyperlink w:anchor="_Toc448404252" w:history="1">
        <w:r w:rsidR="00390DC3" w:rsidRPr="008A5B44">
          <w:rPr>
            <w:rStyle w:val="Hyperlink"/>
            <w:noProof/>
          </w:rPr>
          <w:t>Allocable Costs (based on Uniform Guidance 200.405)</w:t>
        </w:r>
        <w:r w:rsidR="00390DC3">
          <w:rPr>
            <w:noProof/>
            <w:webHidden/>
          </w:rPr>
          <w:tab/>
        </w:r>
        <w:r w:rsidR="00390DC3">
          <w:rPr>
            <w:noProof/>
            <w:webHidden/>
          </w:rPr>
          <w:fldChar w:fldCharType="begin"/>
        </w:r>
        <w:r w:rsidR="00390DC3">
          <w:rPr>
            <w:noProof/>
            <w:webHidden/>
          </w:rPr>
          <w:instrText xml:space="preserve"> PAGEREF _Toc448404252 \h </w:instrText>
        </w:r>
        <w:r w:rsidR="00390DC3">
          <w:rPr>
            <w:noProof/>
            <w:webHidden/>
          </w:rPr>
        </w:r>
        <w:r w:rsidR="00390DC3">
          <w:rPr>
            <w:noProof/>
            <w:webHidden/>
          </w:rPr>
          <w:fldChar w:fldCharType="separate"/>
        </w:r>
        <w:r w:rsidR="006222A3">
          <w:rPr>
            <w:noProof/>
            <w:webHidden/>
          </w:rPr>
          <w:t>24</w:t>
        </w:r>
        <w:r w:rsidR="00390DC3">
          <w:rPr>
            <w:noProof/>
            <w:webHidden/>
          </w:rPr>
          <w:fldChar w:fldCharType="end"/>
        </w:r>
      </w:hyperlink>
    </w:p>
    <w:p w14:paraId="2CB2A97B" w14:textId="189CC5E1" w:rsidR="00390DC3" w:rsidRDefault="00472094">
      <w:pPr>
        <w:pStyle w:val="TOC1"/>
        <w:rPr>
          <w:rFonts w:asciiTheme="minorHAnsi" w:eastAsiaTheme="minorEastAsia" w:hAnsiTheme="minorHAnsi" w:cstheme="minorBidi"/>
          <w:noProof/>
          <w:sz w:val="22"/>
          <w:szCs w:val="22"/>
        </w:rPr>
      </w:pPr>
      <w:hyperlink w:anchor="_Toc448404253" w:history="1">
        <w:r w:rsidR="00390DC3" w:rsidRPr="008A5B44">
          <w:rPr>
            <w:rStyle w:val="Hyperlink"/>
            <w:noProof/>
          </w:rPr>
          <w:t>Appendix</w:t>
        </w:r>
        <w:r w:rsidR="009D551B">
          <w:rPr>
            <w:rStyle w:val="Hyperlink"/>
            <w:noProof/>
          </w:rPr>
          <w:t xml:space="preserve"> III Indirect Cost Rate Proposal</w:t>
        </w:r>
        <w:r w:rsidR="00390DC3">
          <w:rPr>
            <w:noProof/>
            <w:webHidden/>
          </w:rPr>
          <w:tab/>
        </w:r>
        <w:r w:rsidR="00390DC3">
          <w:rPr>
            <w:noProof/>
            <w:webHidden/>
          </w:rPr>
          <w:fldChar w:fldCharType="begin"/>
        </w:r>
        <w:r w:rsidR="00390DC3">
          <w:rPr>
            <w:noProof/>
            <w:webHidden/>
          </w:rPr>
          <w:instrText xml:space="preserve"> PAGEREF _Toc448404253 \h </w:instrText>
        </w:r>
        <w:r w:rsidR="00390DC3">
          <w:rPr>
            <w:noProof/>
            <w:webHidden/>
          </w:rPr>
        </w:r>
        <w:r w:rsidR="00390DC3">
          <w:rPr>
            <w:noProof/>
            <w:webHidden/>
          </w:rPr>
          <w:fldChar w:fldCharType="separate"/>
        </w:r>
        <w:r w:rsidR="006222A3">
          <w:rPr>
            <w:noProof/>
            <w:webHidden/>
          </w:rPr>
          <w:t>26</w:t>
        </w:r>
        <w:r w:rsidR="00390DC3">
          <w:rPr>
            <w:noProof/>
            <w:webHidden/>
          </w:rPr>
          <w:fldChar w:fldCharType="end"/>
        </w:r>
      </w:hyperlink>
    </w:p>
    <w:p w14:paraId="5D1C904D" w14:textId="77777777" w:rsidR="00390DC3" w:rsidRDefault="00472094">
      <w:pPr>
        <w:pStyle w:val="TOC1"/>
        <w:rPr>
          <w:rFonts w:asciiTheme="minorHAnsi" w:eastAsiaTheme="minorEastAsia" w:hAnsiTheme="minorHAnsi" w:cstheme="minorBidi"/>
          <w:noProof/>
          <w:sz w:val="22"/>
          <w:szCs w:val="22"/>
        </w:rPr>
      </w:pPr>
      <w:hyperlink w:anchor="_Toc448404254" w:history="1">
        <w:r w:rsidR="00390DC3" w:rsidRPr="008A5B44">
          <w:rPr>
            <w:rStyle w:val="Hyperlink"/>
            <w:noProof/>
          </w:rPr>
          <w:t>Appendix IV Sample Policy for Records Retention</w:t>
        </w:r>
        <w:r w:rsidR="00390DC3">
          <w:rPr>
            <w:noProof/>
            <w:webHidden/>
          </w:rPr>
          <w:tab/>
        </w:r>
        <w:r w:rsidR="00390DC3">
          <w:rPr>
            <w:noProof/>
            <w:webHidden/>
          </w:rPr>
          <w:fldChar w:fldCharType="begin"/>
        </w:r>
        <w:r w:rsidR="00390DC3">
          <w:rPr>
            <w:noProof/>
            <w:webHidden/>
          </w:rPr>
          <w:instrText xml:space="preserve"> PAGEREF _Toc448404254 \h </w:instrText>
        </w:r>
        <w:r w:rsidR="00390DC3">
          <w:rPr>
            <w:noProof/>
            <w:webHidden/>
          </w:rPr>
        </w:r>
        <w:r w:rsidR="00390DC3">
          <w:rPr>
            <w:noProof/>
            <w:webHidden/>
          </w:rPr>
          <w:fldChar w:fldCharType="separate"/>
        </w:r>
        <w:r w:rsidR="006222A3">
          <w:rPr>
            <w:noProof/>
            <w:webHidden/>
          </w:rPr>
          <w:t>27</w:t>
        </w:r>
        <w:r w:rsidR="00390DC3">
          <w:rPr>
            <w:noProof/>
            <w:webHidden/>
          </w:rPr>
          <w:fldChar w:fldCharType="end"/>
        </w:r>
      </w:hyperlink>
    </w:p>
    <w:p w14:paraId="2BD8B1CA" w14:textId="77777777" w:rsidR="00390DC3" w:rsidRDefault="00472094">
      <w:pPr>
        <w:pStyle w:val="TOC1"/>
        <w:rPr>
          <w:rFonts w:asciiTheme="minorHAnsi" w:eastAsiaTheme="minorEastAsia" w:hAnsiTheme="minorHAnsi" w:cstheme="minorBidi"/>
          <w:noProof/>
          <w:sz w:val="22"/>
          <w:szCs w:val="22"/>
        </w:rPr>
      </w:pPr>
      <w:hyperlink w:anchor="_Toc448404255" w:history="1">
        <w:r w:rsidR="00390DC3" w:rsidRPr="008A5B44">
          <w:rPr>
            <w:rStyle w:val="Hyperlink"/>
            <w:noProof/>
          </w:rPr>
          <w:t>Appendix V Federal Compliance Audits</w:t>
        </w:r>
        <w:r w:rsidR="00390DC3">
          <w:rPr>
            <w:noProof/>
            <w:webHidden/>
          </w:rPr>
          <w:tab/>
        </w:r>
        <w:r w:rsidR="00390DC3">
          <w:rPr>
            <w:noProof/>
            <w:webHidden/>
          </w:rPr>
          <w:fldChar w:fldCharType="begin"/>
        </w:r>
        <w:r w:rsidR="00390DC3">
          <w:rPr>
            <w:noProof/>
            <w:webHidden/>
          </w:rPr>
          <w:instrText xml:space="preserve"> PAGEREF _Toc448404255 \h </w:instrText>
        </w:r>
        <w:r w:rsidR="00390DC3">
          <w:rPr>
            <w:noProof/>
            <w:webHidden/>
          </w:rPr>
        </w:r>
        <w:r w:rsidR="00390DC3">
          <w:rPr>
            <w:noProof/>
            <w:webHidden/>
          </w:rPr>
          <w:fldChar w:fldCharType="separate"/>
        </w:r>
        <w:r w:rsidR="006222A3">
          <w:rPr>
            <w:noProof/>
            <w:webHidden/>
          </w:rPr>
          <w:t>29</w:t>
        </w:r>
        <w:r w:rsidR="00390DC3">
          <w:rPr>
            <w:noProof/>
            <w:webHidden/>
          </w:rPr>
          <w:fldChar w:fldCharType="end"/>
        </w:r>
      </w:hyperlink>
    </w:p>
    <w:p w14:paraId="332967BA" w14:textId="77777777" w:rsidR="00390DC3" w:rsidRDefault="00472094">
      <w:pPr>
        <w:pStyle w:val="TOC2"/>
        <w:rPr>
          <w:rFonts w:asciiTheme="minorHAnsi" w:eastAsiaTheme="minorEastAsia" w:hAnsiTheme="minorHAnsi" w:cstheme="minorBidi"/>
          <w:noProof/>
          <w:sz w:val="22"/>
          <w:szCs w:val="22"/>
        </w:rPr>
      </w:pPr>
      <w:hyperlink w:anchor="_Toc448404256" w:history="1">
        <w:r w:rsidR="00390DC3" w:rsidRPr="008A5B44">
          <w:rPr>
            <w:rStyle w:val="Hyperlink"/>
            <w:noProof/>
          </w:rPr>
          <w:t>Compliance Audits Under Uniform Guidance</w:t>
        </w:r>
        <w:r w:rsidR="00390DC3">
          <w:rPr>
            <w:noProof/>
            <w:webHidden/>
          </w:rPr>
          <w:tab/>
        </w:r>
        <w:r w:rsidR="00390DC3">
          <w:rPr>
            <w:noProof/>
            <w:webHidden/>
          </w:rPr>
          <w:fldChar w:fldCharType="begin"/>
        </w:r>
        <w:r w:rsidR="00390DC3">
          <w:rPr>
            <w:noProof/>
            <w:webHidden/>
          </w:rPr>
          <w:instrText xml:space="preserve"> PAGEREF _Toc448404256 \h </w:instrText>
        </w:r>
        <w:r w:rsidR="00390DC3">
          <w:rPr>
            <w:noProof/>
            <w:webHidden/>
          </w:rPr>
        </w:r>
        <w:r w:rsidR="00390DC3">
          <w:rPr>
            <w:noProof/>
            <w:webHidden/>
          </w:rPr>
          <w:fldChar w:fldCharType="separate"/>
        </w:r>
        <w:r w:rsidR="006222A3">
          <w:rPr>
            <w:noProof/>
            <w:webHidden/>
          </w:rPr>
          <w:t>29</w:t>
        </w:r>
        <w:r w:rsidR="00390DC3">
          <w:rPr>
            <w:noProof/>
            <w:webHidden/>
          </w:rPr>
          <w:fldChar w:fldCharType="end"/>
        </w:r>
      </w:hyperlink>
    </w:p>
    <w:p w14:paraId="567D2023" w14:textId="77777777" w:rsidR="00390DC3" w:rsidRDefault="00472094">
      <w:pPr>
        <w:pStyle w:val="TOC1"/>
        <w:rPr>
          <w:rFonts w:asciiTheme="minorHAnsi" w:eastAsiaTheme="minorEastAsia" w:hAnsiTheme="minorHAnsi" w:cstheme="minorBidi"/>
          <w:noProof/>
          <w:sz w:val="22"/>
          <w:szCs w:val="22"/>
        </w:rPr>
      </w:pPr>
      <w:hyperlink w:anchor="_Toc448404257" w:history="1">
        <w:r w:rsidR="00390DC3" w:rsidRPr="008A5B44">
          <w:rPr>
            <w:rStyle w:val="Hyperlink"/>
            <w:noProof/>
          </w:rPr>
          <w:t>Appendix VI Policy Development Resources</w:t>
        </w:r>
        <w:r w:rsidR="00390DC3">
          <w:rPr>
            <w:noProof/>
            <w:webHidden/>
          </w:rPr>
          <w:tab/>
        </w:r>
        <w:r w:rsidR="00390DC3">
          <w:rPr>
            <w:noProof/>
            <w:webHidden/>
          </w:rPr>
          <w:fldChar w:fldCharType="begin"/>
        </w:r>
        <w:r w:rsidR="00390DC3">
          <w:rPr>
            <w:noProof/>
            <w:webHidden/>
          </w:rPr>
          <w:instrText xml:space="preserve"> PAGEREF _Toc448404257 \h </w:instrText>
        </w:r>
        <w:r w:rsidR="00390DC3">
          <w:rPr>
            <w:noProof/>
            <w:webHidden/>
          </w:rPr>
        </w:r>
        <w:r w:rsidR="00390DC3">
          <w:rPr>
            <w:noProof/>
            <w:webHidden/>
          </w:rPr>
          <w:fldChar w:fldCharType="separate"/>
        </w:r>
        <w:r w:rsidR="006222A3">
          <w:rPr>
            <w:noProof/>
            <w:webHidden/>
          </w:rPr>
          <w:t>30</w:t>
        </w:r>
        <w:r w:rsidR="00390DC3">
          <w:rPr>
            <w:noProof/>
            <w:webHidden/>
          </w:rPr>
          <w:fldChar w:fldCharType="end"/>
        </w:r>
      </w:hyperlink>
    </w:p>
    <w:p w14:paraId="1946C931" w14:textId="77777777" w:rsidR="00390DC3" w:rsidRDefault="00472094">
      <w:pPr>
        <w:pStyle w:val="TOC2"/>
        <w:rPr>
          <w:rFonts w:asciiTheme="minorHAnsi" w:eastAsiaTheme="minorEastAsia" w:hAnsiTheme="minorHAnsi" w:cstheme="minorBidi"/>
          <w:noProof/>
          <w:sz w:val="22"/>
          <w:szCs w:val="22"/>
        </w:rPr>
      </w:pPr>
      <w:hyperlink w:anchor="_Toc448404258" w:history="1">
        <w:r w:rsidR="00390DC3" w:rsidRPr="008A5B44">
          <w:rPr>
            <w:rStyle w:val="Hyperlink"/>
            <w:noProof/>
          </w:rPr>
          <w:t>Financial Management and Related Policies</w:t>
        </w:r>
        <w:r w:rsidR="00390DC3">
          <w:rPr>
            <w:noProof/>
            <w:webHidden/>
          </w:rPr>
          <w:tab/>
        </w:r>
        <w:r w:rsidR="00390DC3">
          <w:rPr>
            <w:noProof/>
            <w:webHidden/>
          </w:rPr>
          <w:fldChar w:fldCharType="begin"/>
        </w:r>
        <w:r w:rsidR="00390DC3">
          <w:rPr>
            <w:noProof/>
            <w:webHidden/>
          </w:rPr>
          <w:instrText xml:space="preserve"> PAGEREF _Toc448404258 \h </w:instrText>
        </w:r>
        <w:r w:rsidR="00390DC3">
          <w:rPr>
            <w:noProof/>
            <w:webHidden/>
          </w:rPr>
        </w:r>
        <w:r w:rsidR="00390DC3">
          <w:rPr>
            <w:noProof/>
            <w:webHidden/>
          </w:rPr>
          <w:fldChar w:fldCharType="separate"/>
        </w:r>
        <w:r w:rsidR="006222A3">
          <w:rPr>
            <w:noProof/>
            <w:webHidden/>
          </w:rPr>
          <w:t>30</w:t>
        </w:r>
        <w:r w:rsidR="00390DC3">
          <w:rPr>
            <w:noProof/>
            <w:webHidden/>
          </w:rPr>
          <w:fldChar w:fldCharType="end"/>
        </w:r>
      </w:hyperlink>
    </w:p>
    <w:p w14:paraId="4BA1148C" w14:textId="77777777" w:rsidR="00390DC3" w:rsidRDefault="00472094">
      <w:pPr>
        <w:pStyle w:val="TOC2"/>
        <w:rPr>
          <w:rFonts w:asciiTheme="minorHAnsi" w:eastAsiaTheme="minorEastAsia" w:hAnsiTheme="minorHAnsi" w:cstheme="minorBidi"/>
          <w:noProof/>
          <w:sz w:val="22"/>
          <w:szCs w:val="22"/>
        </w:rPr>
      </w:pPr>
      <w:hyperlink w:anchor="_Toc448404259" w:history="1">
        <w:r w:rsidR="00390DC3" w:rsidRPr="008A5B44">
          <w:rPr>
            <w:rStyle w:val="Hyperlink"/>
            <w:noProof/>
          </w:rPr>
          <w:t>Risk Management</w:t>
        </w:r>
        <w:r w:rsidR="00390DC3">
          <w:rPr>
            <w:noProof/>
            <w:webHidden/>
          </w:rPr>
          <w:tab/>
        </w:r>
        <w:r w:rsidR="00390DC3">
          <w:rPr>
            <w:noProof/>
            <w:webHidden/>
          </w:rPr>
          <w:fldChar w:fldCharType="begin"/>
        </w:r>
        <w:r w:rsidR="00390DC3">
          <w:rPr>
            <w:noProof/>
            <w:webHidden/>
          </w:rPr>
          <w:instrText xml:space="preserve"> PAGEREF _Toc448404259 \h </w:instrText>
        </w:r>
        <w:r w:rsidR="00390DC3">
          <w:rPr>
            <w:noProof/>
            <w:webHidden/>
          </w:rPr>
        </w:r>
        <w:r w:rsidR="00390DC3">
          <w:rPr>
            <w:noProof/>
            <w:webHidden/>
          </w:rPr>
          <w:fldChar w:fldCharType="separate"/>
        </w:r>
        <w:r w:rsidR="006222A3">
          <w:rPr>
            <w:noProof/>
            <w:webHidden/>
          </w:rPr>
          <w:t>30</w:t>
        </w:r>
        <w:r w:rsidR="00390DC3">
          <w:rPr>
            <w:noProof/>
            <w:webHidden/>
          </w:rPr>
          <w:fldChar w:fldCharType="end"/>
        </w:r>
      </w:hyperlink>
    </w:p>
    <w:p w14:paraId="7D9E1E17" w14:textId="77777777" w:rsidR="00390DC3" w:rsidRDefault="00472094">
      <w:pPr>
        <w:pStyle w:val="TOC2"/>
        <w:rPr>
          <w:rFonts w:asciiTheme="minorHAnsi" w:eastAsiaTheme="minorEastAsia" w:hAnsiTheme="minorHAnsi" w:cstheme="minorBidi"/>
          <w:noProof/>
          <w:sz w:val="22"/>
          <w:szCs w:val="22"/>
        </w:rPr>
      </w:pPr>
      <w:hyperlink w:anchor="_Toc448404260" w:history="1">
        <w:r w:rsidR="00390DC3" w:rsidRPr="008A5B44">
          <w:rPr>
            <w:rStyle w:val="Hyperlink"/>
            <w:noProof/>
          </w:rPr>
          <w:t>Indirect Cost Rates and Indirect Cost Rate Proposals</w:t>
        </w:r>
        <w:r w:rsidR="00390DC3">
          <w:rPr>
            <w:noProof/>
            <w:webHidden/>
          </w:rPr>
          <w:tab/>
        </w:r>
        <w:r w:rsidR="00390DC3">
          <w:rPr>
            <w:noProof/>
            <w:webHidden/>
          </w:rPr>
          <w:fldChar w:fldCharType="begin"/>
        </w:r>
        <w:r w:rsidR="00390DC3">
          <w:rPr>
            <w:noProof/>
            <w:webHidden/>
          </w:rPr>
          <w:instrText xml:space="preserve"> PAGEREF _Toc448404260 \h </w:instrText>
        </w:r>
        <w:r w:rsidR="00390DC3">
          <w:rPr>
            <w:noProof/>
            <w:webHidden/>
          </w:rPr>
        </w:r>
        <w:r w:rsidR="00390DC3">
          <w:rPr>
            <w:noProof/>
            <w:webHidden/>
          </w:rPr>
          <w:fldChar w:fldCharType="separate"/>
        </w:r>
        <w:r w:rsidR="006222A3">
          <w:rPr>
            <w:noProof/>
            <w:webHidden/>
          </w:rPr>
          <w:t>30</w:t>
        </w:r>
        <w:r w:rsidR="00390DC3">
          <w:rPr>
            <w:noProof/>
            <w:webHidden/>
          </w:rPr>
          <w:fldChar w:fldCharType="end"/>
        </w:r>
      </w:hyperlink>
    </w:p>
    <w:p w14:paraId="35F55363" w14:textId="77777777" w:rsidR="00390DC3" w:rsidRDefault="00472094">
      <w:pPr>
        <w:pStyle w:val="TOC2"/>
        <w:rPr>
          <w:rFonts w:asciiTheme="minorHAnsi" w:eastAsiaTheme="minorEastAsia" w:hAnsiTheme="minorHAnsi" w:cstheme="minorBidi"/>
          <w:noProof/>
          <w:sz w:val="22"/>
          <w:szCs w:val="22"/>
        </w:rPr>
      </w:pPr>
      <w:hyperlink w:anchor="_Toc448404261" w:history="1">
        <w:r w:rsidR="00390DC3" w:rsidRPr="008A5B44">
          <w:rPr>
            <w:rStyle w:val="Hyperlink"/>
            <w:noProof/>
          </w:rPr>
          <w:t>Personnel Management</w:t>
        </w:r>
        <w:r w:rsidR="00390DC3">
          <w:rPr>
            <w:noProof/>
            <w:webHidden/>
          </w:rPr>
          <w:tab/>
        </w:r>
        <w:r w:rsidR="00390DC3">
          <w:rPr>
            <w:noProof/>
            <w:webHidden/>
          </w:rPr>
          <w:fldChar w:fldCharType="begin"/>
        </w:r>
        <w:r w:rsidR="00390DC3">
          <w:rPr>
            <w:noProof/>
            <w:webHidden/>
          </w:rPr>
          <w:instrText xml:space="preserve"> PAGEREF _Toc448404261 \h </w:instrText>
        </w:r>
        <w:r w:rsidR="00390DC3">
          <w:rPr>
            <w:noProof/>
            <w:webHidden/>
          </w:rPr>
        </w:r>
        <w:r w:rsidR="00390DC3">
          <w:rPr>
            <w:noProof/>
            <w:webHidden/>
          </w:rPr>
          <w:fldChar w:fldCharType="separate"/>
        </w:r>
        <w:r w:rsidR="006222A3">
          <w:rPr>
            <w:noProof/>
            <w:webHidden/>
          </w:rPr>
          <w:t>31</w:t>
        </w:r>
        <w:r w:rsidR="00390DC3">
          <w:rPr>
            <w:noProof/>
            <w:webHidden/>
          </w:rPr>
          <w:fldChar w:fldCharType="end"/>
        </w:r>
      </w:hyperlink>
    </w:p>
    <w:p w14:paraId="1F8CE08C" w14:textId="77777777" w:rsidR="00390DC3" w:rsidRDefault="00472094">
      <w:pPr>
        <w:pStyle w:val="TOC2"/>
        <w:rPr>
          <w:rFonts w:asciiTheme="minorHAnsi" w:eastAsiaTheme="minorEastAsia" w:hAnsiTheme="minorHAnsi" w:cstheme="minorBidi"/>
          <w:noProof/>
          <w:sz w:val="22"/>
          <w:szCs w:val="22"/>
        </w:rPr>
      </w:pPr>
      <w:hyperlink w:anchor="_Toc448404262" w:history="1">
        <w:r w:rsidR="00390DC3" w:rsidRPr="008A5B44">
          <w:rPr>
            <w:rStyle w:val="Hyperlink"/>
            <w:noProof/>
          </w:rPr>
          <w:t>Whistleblower Policies</w:t>
        </w:r>
        <w:r w:rsidR="00390DC3">
          <w:rPr>
            <w:noProof/>
            <w:webHidden/>
          </w:rPr>
          <w:tab/>
        </w:r>
        <w:r w:rsidR="00390DC3">
          <w:rPr>
            <w:noProof/>
            <w:webHidden/>
          </w:rPr>
          <w:fldChar w:fldCharType="begin"/>
        </w:r>
        <w:r w:rsidR="00390DC3">
          <w:rPr>
            <w:noProof/>
            <w:webHidden/>
          </w:rPr>
          <w:instrText xml:space="preserve"> PAGEREF _Toc448404262 \h </w:instrText>
        </w:r>
        <w:r w:rsidR="00390DC3">
          <w:rPr>
            <w:noProof/>
            <w:webHidden/>
          </w:rPr>
        </w:r>
        <w:r w:rsidR="00390DC3">
          <w:rPr>
            <w:noProof/>
            <w:webHidden/>
          </w:rPr>
          <w:fldChar w:fldCharType="separate"/>
        </w:r>
        <w:r w:rsidR="006222A3">
          <w:rPr>
            <w:noProof/>
            <w:webHidden/>
          </w:rPr>
          <w:t>31</w:t>
        </w:r>
        <w:r w:rsidR="00390DC3">
          <w:rPr>
            <w:noProof/>
            <w:webHidden/>
          </w:rPr>
          <w:fldChar w:fldCharType="end"/>
        </w:r>
      </w:hyperlink>
    </w:p>
    <w:p w14:paraId="7A8F1DB1" w14:textId="77777777" w:rsidR="00390DC3" w:rsidRDefault="00472094">
      <w:pPr>
        <w:pStyle w:val="TOC2"/>
        <w:rPr>
          <w:rFonts w:asciiTheme="minorHAnsi" w:eastAsiaTheme="minorEastAsia" w:hAnsiTheme="minorHAnsi" w:cstheme="minorBidi"/>
          <w:noProof/>
          <w:sz w:val="22"/>
          <w:szCs w:val="22"/>
        </w:rPr>
      </w:pPr>
      <w:hyperlink w:anchor="_Toc448404263" w:history="1">
        <w:r w:rsidR="00390DC3" w:rsidRPr="008A5B44">
          <w:rPr>
            <w:rStyle w:val="Hyperlink"/>
            <w:noProof/>
          </w:rPr>
          <w:t>Codes of Conduct and Corporate Compliance</w:t>
        </w:r>
        <w:r w:rsidR="00390DC3">
          <w:rPr>
            <w:noProof/>
            <w:webHidden/>
          </w:rPr>
          <w:tab/>
        </w:r>
        <w:r w:rsidR="00390DC3">
          <w:rPr>
            <w:noProof/>
            <w:webHidden/>
          </w:rPr>
          <w:fldChar w:fldCharType="begin"/>
        </w:r>
        <w:r w:rsidR="00390DC3">
          <w:rPr>
            <w:noProof/>
            <w:webHidden/>
          </w:rPr>
          <w:instrText xml:space="preserve"> PAGEREF _Toc448404263 \h </w:instrText>
        </w:r>
        <w:r w:rsidR="00390DC3">
          <w:rPr>
            <w:noProof/>
            <w:webHidden/>
          </w:rPr>
        </w:r>
        <w:r w:rsidR="00390DC3">
          <w:rPr>
            <w:noProof/>
            <w:webHidden/>
          </w:rPr>
          <w:fldChar w:fldCharType="separate"/>
        </w:r>
        <w:r w:rsidR="006222A3">
          <w:rPr>
            <w:noProof/>
            <w:webHidden/>
          </w:rPr>
          <w:t>31</w:t>
        </w:r>
        <w:r w:rsidR="00390DC3">
          <w:rPr>
            <w:noProof/>
            <w:webHidden/>
          </w:rPr>
          <w:fldChar w:fldCharType="end"/>
        </w:r>
      </w:hyperlink>
    </w:p>
    <w:p w14:paraId="5F731067" w14:textId="77777777" w:rsidR="00390DC3" w:rsidRDefault="00472094">
      <w:pPr>
        <w:pStyle w:val="TOC2"/>
        <w:rPr>
          <w:rFonts w:asciiTheme="minorHAnsi" w:eastAsiaTheme="minorEastAsia" w:hAnsiTheme="minorHAnsi" w:cstheme="minorBidi"/>
          <w:noProof/>
          <w:sz w:val="22"/>
          <w:szCs w:val="22"/>
        </w:rPr>
      </w:pPr>
      <w:hyperlink w:anchor="_Toc448404264" w:history="1">
        <w:r w:rsidR="00390DC3" w:rsidRPr="008A5B44">
          <w:rPr>
            <w:rStyle w:val="Hyperlink"/>
            <w:noProof/>
          </w:rPr>
          <w:t>Federal Regulations and Resources</w:t>
        </w:r>
        <w:r w:rsidR="00390DC3">
          <w:rPr>
            <w:noProof/>
            <w:webHidden/>
          </w:rPr>
          <w:tab/>
        </w:r>
        <w:r w:rsidR="00390DC3">
          <w:rPr>
            <w:noProof/>
            <w:webHidden/>
          </w:rPr>
          <w:fldChar w:fldCharType="begin"/>
        </w:r>
        <w:r w:rsidR="00390DC3">
          <w:rPr>
            <w:noProof/>
            <w:webHidden/>
          </w:rPr>
          <w:instrText xml:space="preserve"> PAGEREF _Toc448404264 \h </w:instrText>
        </w:r>
        <w:r w:rsidR="00390DC3">
          <w:rPr>
            <w:noProof/>
            <w:webHidden/>
          </w:rPr>
        </w:r>
        <w:r w:rsidR="00390DC3">
          <w:rPr>
            <w:noProof/>
            <w:webHidden/>
          </w:rPr>
          <w:fldChar w:fldCharType="separate"/>
        </w:r>
        <w:r w:rsidR="006222A3">
          <w:rPr>
            <w:noProof/>
            <w:webHidden/>
          </w:rPr>
          <w:t>31</w:t>
        </w:r>
        <w:r w:rsidR="00390DC3">
          <w:rPr>
            <w:noProof/>
            <w:webHidden/>
          </w:rPr>
          <w:fldChar w:fldCharType="end"/>
        </w:r>
      </w:hyperlink>
    </w:p>
    <w:p w14:paraId="69230D90" w14:textId="77777777" w:rsidR="009868EE" w:rsidRDefault="009868EE" w:rsidP="009868EE">
      <w:r>
        <w:fldChar w:fldCharType="end"/>
      </w:r>
    </w:p>
    <w:p w14:paraId="4EE4186B" w14:textId="00CC4BB9" w:rsidR="009868EE" w:rsidRDefault="009868EE">
      <w:pPr>
        <w:rPr>
          <w:rFonts w:ascii="Arial" w:eastAsia="Calibri" w:hAnsi="Arial"/>
          <w:szCs w:val="28"/>
          <w:lang w:bidi="ar-SA"/>
        </w:rPr>
      </w:pPr>
      <w:r>
        <w:rPr>
          <w:rFonts w:ascii="Arial" w:eastAsia="Calibri" w:hAnsi="Arial"/>
          <w:szCs w:val="28"/>
          <w:lang w:bidi="ar-SA"/>
        </w:rPr>
        <w:br w:type="page"/>
      </w:r>
      <w:bookmarkStart w:id="22" w:name="_GoBack"/>
      <w:bookmarkEnd w:id="22"/>
    </w:p>
    <w:p w14:paraId="19E5C658" w14:textId="442B1051" w:rsidR="00923FF8" w:rsidRDefault="003B0FE3" w:rsidP="00A641C1">
      <w:pPr>
        <w:pStyle w:val="Heading1"/>
        <w:pageBreakBefore/>
      </w:pPr>
      <w:bookmarkStart w:id="23" w:name="_Toc448404197"/>
      <w:r>
        <w:lastRenderedPageBreak/>
        <w:t>Acknowledgements</w:t>
      </w:r>
      <w:bookmarkEnd w:id="23"/>
    </w:p>
    <w:bookmarkEnd w:id="21"/>
    <w:p w14:paraId="0AE3EB5A" w14:textId="5DB3BA67" w:rsidR="004233D7" w:rsidRDefault="004233D7" w:rsidP="004233D7">
      <w:pPr>
        <w:pStyle w:val="Bodytext4"/>
      </w:pPr>
      <w:r>
        <w:t>The IL</w:t>
      </w:r>
      <w:r>
        <w:noBreakHyphen/>
        <w:t>NET training and technical assistance team at ILRU (Independent Living Research Utilization) thanks the many people who helped to make this publication possible. We first want to acknowledge the tireless and skillful leadership of John Heveron, CPA, in guiding the development of the manual and bringing his commitment to excellence to the total project. We also thank the staff at the Rehabilitation Services Administration (formerly responsible for oversight of the Independent Living Program) for their guidance and assistance in ensuring the accuracy and relevance of the original document. We also acknowledge the current leaders of the program, the staff of the Independent Living Administration within the federal Administration for Community Living. In addition, we express appreciation to the centers for independent living in Kansas and Kansas Rehabilitation Services, who helped field-test much of the material included here. Their practical insights greatly helped to strengthen the manual.</w:t>
      </w:r>
    </w:p>
    <w:p w14:paraId="75A3ABB9" w14:textId="77777777" w:rsidR="009868EE" w:rsidRDefault="009868EE" w:rsidP="004233D7">
      <w:pPr>
        <w:pStyle w:val="Bodytext4"/>
      </w:pPr>
    </w:p>
    <w:p w14:paraId="1BBF4CE1" w14:textId="05EFE8B8" w:rsidR="006222A3" w:rsidRDefault="00923FF8">
      <w:r>
        <w:br w:type="page"/>
      </w:r>
      <w:r w:rsidR="006222A3">
        <w:lastRenderedPageBreak/>
        <w:br w:type="page"/>
      </w:r>
    </w:p>
    <w:p w14:paraId="1070C0D2" w14:textId="6B425DC3" w:rsidR="00923FF8" w:rsidRDefault="00923FF8" w:rsidP="006222A3">
      <w:pPr>
        <w:pStyle w:val="Heading1"/>
        <w:pageBreakBefore/>
      </w:pPr>
      <w:bookmarkStart w:id="24" w:name="_Toc448404198"/>
      <w:r>
        <w:lastRenderedPageBreak/>
        <w:t>Preface</w:t>
      </w:r>
      <w:bookmarkEnd w:id="24"/>
    </w:p>
    <w:p w14:paraId="7D03E9A8" w14:textId="3E9AA0B7" w:rsidR="00A67859" w:rsidRDefault="00E22823" w:rsidP="00E22823">
      <w:pPr>
        <w:pStyle w:val="BodyText"/>
      </w:pPr>
      <w:r>
        <w:t>This document was cre</w:t>
      </w:r>
      <w:r w:rsidR="00B16C0A">
        <w:t xml:space="preserve">ated at the request of </w:t>
      </w:r>
      <w:r>
        <w:t>centers for independent li</w:t>
      </w:r>
      <w:r w:rsidR="00B16C0A">
        <w:t>ving (CILs) that</w:t>
      </w:r>
      <w:r>
        <w:t xml:space="preserve"> </w:t>
      </w:r>
      <w:r w:rsidR="00563563">
        <w:t xml:space="preserve">needed </w:t>
      </w:r>
      <w:r w:rsidR="00D54374">
        <w:t xml:space="preserve">policy </w:t>
      </w:r>
      <w:r>
        <w:t>example</w:t>
      </w:r>
      <w:r w:rsidR="00D54374">
        <w:t>s</w:t>
      </w:r>
      <w:r>
        <w:t xml:space="preserve"> they could use as a guide for developing</w:t>
      </w:r>
      <w:r w:rsidR="00474B27">
        <w:t xml:space="preserve"> or strengthening</w:t>
      </w:r>
      <w:r w:rsidR="00B16C0A">
        <w:t xml:space="preserve"> their CIL</w:t>
      </w:r>
      <w:r>
        <w:t>s</w:t>
      </w:r>
      <w:r w:rsidR="00B16C0A">
        <w:t>’</w:t>
      </w:r>
      <w:r>
        <w:t xml:space="preserve"> fiscal policies and procedures. There is no area of nonprofit management that is more critical than the proper management of financial resources.</w:t>
      </w:r>
      <w:r w:rsidR="002909FB">
        <w:t xml:space="preserve"> Policies and procedures are required for compliance and are a necessary internal control for any</w:t>
      </w:r>
      <w:r w:rsidR="00567617">
        <w:t xml:space="preserve"> organization</w:t>
      </w:r>
      <w:r w:rsidR="002909FB">
        <w:t>.</w:t>
      </w:r>
      <w:r>
        <w:t xml:space="preserve"> Having good written policies and procedures may not ensure the success of an organization, but</w:t>
      </w:r>
      <w:r w:rsidR="00474B27">
        <w:t xml:space="preserve"> </w:t>
      </w:r>
      <w:r w:rsidR="00207747">
        <w:t xml:space="preserve">will </w:t>
      </w:r>
      <w:r>
        <w:t>go a long way toward</w:t>
      </w:r>
      <w:r w:rsidR="00474B27">
        <w:t xml:space="preserve"> facilitating that</w:t>
      </w:r>
      <w:r w:rsidR="00C25B50">
        <w:t xml:space="preserve"> success</w:t>
      </w:r>
      <w:r w:rsidR="00474B27">
        <w:t>.</w:t>
      </w:r>
    </w:p>
    <w:p w14:paraId="1A27CDAA" w14:textId="3522A164" w:rsidR="005B779E" w:rsidRDefault="00651037" w:rsidP="00393938">
      <w:pPr>
        <w:pStyle w:val="BodyText"/>
      </w:pPr>
      <w:r w:rsidRPr="00651037">
        <w:t>Since most centers are recipients of federal funds, whether through Title VII of the Rehabilitation Act, as amended</w:t>
      </w:r>
      <w:r w:rsidR="003E41A5">
        <w:t>,</w:t>
      </w:r>
      <w:r w:rsidRPr="00651037">
        <w:t xml:space="preserve"> or through other </w:t>
      </w:r>
      <w:r>
        <w:t xml:space="preserve">federal agencies or </w:t>
      </w:r>
      <w:r w:rsidRPr="00651037">
        <w:t xml:space="preserve">programs, </w:t>
      </w:r>
      <w:r w:rsidR="008D3DED">
        <w:t>this</w:t>
      </w:r>
      <w:r w:rsidR="008D3DED" w:rsidRPr="00651037">
        <w:t xml:space="preserve"> </w:t>
      </w:r>
      <w:r w:rsidRPr="00651037">
        <w:t xml:space="preserve">guide incorporates requirements </w:t>
      </w:r>
      <w:r w:rsidR="00E06D64">
        <w:t xml:space="preserve">to which </w:t>
      </w:r>
      <w:r w:rsidRPr="00651037">
        <w:t>nonprofit organizations must adhere in the management a</w:t>
      </w:r>
      <w:r>
        <w:t>nd allocation of federal funds.</w:t>
      </w:r>
      <w:r w:rsidR="00D95921">
        <w:t xml:space="preserve"> </w:t>
      </w:r>
      <w:r w:rsidR="00F634AD">
        <w:t>In addition, c</w:t>
      </w:r>
      <w:r w:rsidR="00393938" w:rsidRPr="00393938">
        <w:t>enters are required to conduct resource development</w:t>
      </w:r>
      <w:r w:rsidR="008D3DED">
        <w:t>,</w:t>
      </w:r>
      <w:r w:rsidR="00393938" w:rsidRPr="00393938">
        <w:t xml:space="preserve"> and many operate—or will operate—with funding from multiple agencies and programs</w:t>
      </w:r>
      <w:r w:rsidR="00F634AD">
        <w:t xml:space="preserve"> beyond federal funding</w:t>
      </w:r>
      <w:r w:rsidR="00393938" w:rsidRPr="00393938">
        <w:t xml:space="preserve">. </w:t>
      </w:r>
      <w:r w:rsidR="008D3DED">
        <w:t>This guide</w:t>
      </w:r>
      <w:r w:rsidR="008D3DED" w:rsidRPr="00F634AD">
        <w:t xml:space="preserve"> </w:t>
      </w:r>
      <w:r w:rsidR="00F634AD" w:rsidRPr="00F634AD">
        <w:t>incorporates what are good practices for any nonprofit in its financial management. It is essential</w:t>
      </w:r>
      <w:r w:rsidR="00387445">
        <w:t xml:space="preserve"> that the board </w:t>
      </w:r>
      <w:r w:rsidR="00F634AD" w:rsidRPr="00F634AD">
        <w:t>adopt</w:t>
      </w:r>
      <w:r w:rsidR="00387445">
        <w:t>, and that the staff be trained in</w:t>
      </w:r>
      <w:r w:rsidR="00F634AD" w:rsidRPr="00F634AD">
        <w:t xml:space="preserve"> policies and practices that follow generally accepted principles so that centers are prepared to address other requirements that may be imposed by other funders</w:t>
      </w:r>
      <w:r w:rsidR="00F634AD">
        <w:t>.</w:t>
      </w:r>
      <w:r w:rsidR="00F634AD" w:rsidRPr="00F634AD">
        <w:t xml:space="preserve"> </w:t>
      </w:r>
      <w:r w:rsidR="00F634AD">
        <w:t>T</w:t>
      </w:r>
      <w:r w:rsidR="00F634AD" w:rsidRPr="00F634AD">
        <w:t>his guide will address these principles.</w:t>
      </w:r>
      <w:r w:rsidR="005B779E">
        <w:t xml:space="preserve"> </w:t>
      </w:r>
      <w:r w:rsidR="00D95921">
        <w:t>Specifically, t</w:t>
      </w:r>
      <w:r w:rsidR="003024D1">
        <w:t xml:space="preserve">he </w:t>
      </w:r>
      <w:r>
        <w:t xml:space="preserve">guide </w:t>
      </w:r>
      <w:r w:rsidRPr="00651037">
        <w:t>reference</w:t>
      </w:r>
      <w:r>
        <w:t>s</w:t>
      </w:r>
      <w:r w:rsidRPr="00651037">
        <w:t xml:space="preserve"> </w:t>
      </w:r>
      <w:r w:rsidR="005B779E">
        <w:t>the following federal</w:t>
      </w:r>
      <w:r w:rsidR="00387445">
        <w:t xml:space="preserve"> guidance </w:t>
      </w:r>
      <w:r w:rsidR="005B779E">
        <w:t>and regulations:</w:t>
      </w:r>
    </w:p>
    <w:p w14:paraId="2004EE30" w14:textId="77777777" w:rsidR="00387445" w:rsidRDefault="00387445" w:rsidP="00393938">
      <w:pPr>
        <w:pStyle w:val="ListBullet"/>
      </w:pPr>
      <w:r>
        <w:t>2 C.F.R. Uniform Guidance</w:t>
      </w:r>
    </w:p>
    <w:p w14:paraId="78326493" w14:textId="1D1D8E57" w:rsidR="00387445" w:rsidRPr="00090CA5" w:rsidRDefault="00387445" w:rsidP="00393938">
      <w:pPr>
        <w:pStyle w:val="ListBullet"/>
        <w:rPr>
          <w:rFonts w:cs="Arial"/>
          <w:szCs w:val="24"/>
        </w:rPr>
      </w:pPr>
      <w:r w:rsidRPr="00090CA5">
        <w:rPr>
          <w:rFonts w:eastAsia="Times New Roman" w:cs="Arial"/>
          <w:szCs w:val="24"/>
          <w:lang w:val="en"/>
        </w:rPr>
        <w:t>The Workfo</w:t>
      </w:r>
      <w:r w:rsidR="003A197B">
        <w:rPr>
          <w:rFonts w:eastAsia="Times New Roman" w:cs="Arial"/>
          <w:szCs w:val="24"/>
          <w:lang w:val="en"/>
        </w:rPr>
        <w:t>rce Innovation and Opportunity</w:t>
      </w:r>
      <w:r w:rsidRPr="00090CA5">
        <w:rPr>
          <w:rFonts w:eastAsia="Times New Roman" w:cs="Arial"/>
          <w:szCs w:val="24"/>
          <w:lang w:val="en"/>
        </w:rPr>
        <w:t xml:space="preserve"> Act of 2014 (WIOA)</w:t>
      </w:r>
    </w:p>
    <w:p w14:paraId="404963FF" w14:textId="2CDABF36" w:rsidR="00EE678E" w:rsidRPr="00EE678E" w:rsidRDefault="00EE678E" w:rsidP="00393938">
      <w:pPr>
        <w:pStyle w:val="ListBullet"/>
        <w:rPr>
          <w:rFonts w:cs="Arial"/>
          <w:szCs w:val="24"/>
        </w:rPr>
      </w:pPr>
      <w:r w:rsidRPr="00090CA5">
        <w:rPr>
          <w:rFonts w:eastAsia="Times New Roman" w:cs="Arial"/>
          <w:szCs w:val="24"/>
          <w:lang w:val="en"/>
        </w:rPr>
        <w:t>Technical guidance from</w:t>
      </w:r>
      <w:r w:rsidR="007823A2">
        <w:rPr>
          <w:rFonts w:eastAsia="Times New Roman" w:cs="Arial"/>
          <w:szCs w:val="24"/>
          <w:lang w:val="en"/>
        </w:rPr>
        <w:t xml:space="preserve"> </w:t>
      </w:r>
      <w:r w:rsidR="00B718F2">
        <w:rPr>
          <w:rFonts w:eastAsia="Times New Roman" w:cs="Arial"/>
          <w:szCs w:val="24"/>
          <w:lang w:val="en"/>
        </w:rPr>
        <w:t xml:space="preserve">the </w:t>
      </w:r>
      <w:r w:rsidR="007A2D73">
        <w:rPr>
          <w:rFonts w:eastAsia="Times New Roman" w:cs="Arial"/>
          <w:szCs w:val="24"/>
          <w:lang w:val="en"/>
        </w:rPr>
        <w:t xml:space="preserve">U.S. Department of Health and Human Services, </w:t>
      </w:r>
      <w:r w:rsidRPr="00090CA5">
        <w:rPr>
          <w:rFonts w:eastAsia="Times New Roman" w:cs="Arial"/>
          <w:szCs w:val="24"/>
          <w:lang w:val="en"/>
        </w:rPr>
        <w:t>Administration for Community Living (ACL)</w:t>
      </w:r>
    </w:p>
    <w:p w14:paraId="16851C33" w14:textId="7AE6F346" w:rsidR="00393938" w:rsidRDefault="00CA2F69" w:rsidP="00393938">
      <w:pPr>
        <w:pStyle w:val="ListBullet"/>
      </w:pPr>
      <w:r>
        <w:t xml:space="preserve">Code of Federal </w:t>
      </w:r>
      <w:r w:rsidR="005B779E" w:rsidRPr="00541E56">
        <w:t>R</w:t>
      </w:r>
      <w:r w:rsidR="00651037" w:rsidRPr="00541E56">
        <w:t xml:space="preserve">egulations </w:t>
      </w:r>
      <w:r w:rsidRPr="00541E56">
        <w:t>(CFR</w:t>
      </w:r>
      <w:r w:rsidRPr="00191FCB">
        <w:t xml:space="preserve">) </w:t>
      </w:r>
      <w:r w:rsidR="00541E56" w:rsidRPr="00191FCB">
        <w:t>34</w:t>
      </w:r>
      <w:r w:rsidR="00541E56" w:rsidRPr="00541E56">
        <w:t xml:space="preserve"> </w:t>
      </w:r>
      <w:r w:rsidRPr="00541E56">
        <w:t xml:space="preserve">Parts 364 and 366 </w:t>
      </w:r>
      <w:r w:rsidR="00651037" w:rsidRPr="00541E56">
        <w:t>implementing Title</w:t>
      </w:r>
      <w:r w:rsidR="00651037" w:rsidRPr="00651037">
        <w:t xml:space="preserve"> VII of the Rehabilitation Act</w:t>
      </w:r>
      <w:r>
        <w:t xml:space="preserve"> of 1973</w:t>
      </w:r>
      <w:r w:rsidR="00651037" w:rsidRPr="00651037">
        <w:t>, as amended, under which centers are funded</w:t>
      </w:r>
      <w:r w:rsidR="00541E56">
        <w:rPr>
          <w:rStyle w:val="FootnoteReference"/>
        </w:rPr>
        <w:footnoteReference w:id="1"/>
      </w:r>
    </w:p>
    <w:p w14:paraId="448F9AC9" w14:textId="51B87C0F" w:rsidR="009C1BBA" w:rsidRDefault="00EE4710" w:rsidP="009868EE">
      <w:pPr>
        <w:pStyle w:val="BodyText"/>
        <w:widowControl w:val="0"/>
      </w:pPr>
      <w:r>
        <w:t>Specific references to regulations and gu</w:t>
      </w:r>
      <w:r w:rsidRPr="00A85960">
        <w:t>i</w:t>
      </w:r>
      <w:r>
        <w:t xml:space="preserve">delines are shown in footnotes and in the appendixes to this guide. </w:t>
      </w:r>
      <w:r w:rsidR="003024D1">
        <w:t xml:space="preserve">Footnotes are also used to highlight other </w:t>
      </w:r>
      <w:r w:rsidR="00B022CA">
        <w:t>helpful</w:t>
      </w:r>
      <w:r w:rsidR="003024D1">
        <w:t xml:space="preserve"> information.</w:t>
      </w:r>
      <w:r w:rsidR="00B16C0A">
        <w:t xml:space="preserve"> </w:t>
      </w:r>
      <w:r w:rsidR="009C1BBA">
        <w:t>There are a couple terms you should be familiar with as you go through this. You will see reference to "non-federal entities</w:t>
      </w:r>
      <w:r w:rsidR="007A2D73">
        <w:t>.</w:t>
      </w:r>
      <w:r w:rsidR="009C1BBA">
        <w:t>"</w:t>
      </w:r>
      <w:r w:rsidR="007823A2">
        <w:t xml:space="preserve"> </w:t>
      </w:r>
      <w:r w:rsidR="00090CA5">
        <w:t>T</w:t>
      </w:r>
      <w:r w:rsidR="009C1BBA">
        <w:t>hat's you</w:t>
      </w:r>
      <w:r w:rsidR="007A2D73">
        <w:t>r organization</w:t>
      </w:r>
      <w:r w:rsidR="009C1BBA">
        <w:t xml:space="preserve"> and other </w:t>
      </w:r>
      <w:r w:rsidR="007A2D73">
        <w:t>organizations</w:t>
      </w:r>
      <w:r w:rsidR="009C1BBA">
        <w:t xml:space="preserve"> that receive federal funding but aren't federal agencies. </w:t>
      </w:r>
      <w:r w:rsidR="00090CA5">
        <w:t xml:space="preserve">You will </w:t>
      </w:r>
      <w:r w:rsidR="009C1BBA">
        <w:t xml:space="preserve">also </w:t>
      </w:r>
      <w:r w:rsidR="00090CA5">
        <w:t xml:space="preserve">see </w:t>
      </w:r>
      <w:r w:rsidR="009C1BBA">
        <w:t>the term "object of expenditure</w:t>
      </w:r>
      <w:r w:rsidR="007A2D73">
        <w:t>.</w:t>
      </w:r>
      <w:r w:rsidR="009C1BBA">
        <w:t>"</w:t>
      </w:r>
      <w:r w:rsidR="007823A2">
        <w:t xml:space="preserve"> </w:t>
      </w:r>
      <w:r w:rsidR="00090CA5">
        <w:t>T</w:t>
      </w:r>
      <w:r w:rsidR="009C1BBA">
        <w:t>his is a service or a group of services for a specific population. A different set of services or a different population signal a different object of expenditure</w:t>
      </w:r>
      <w:r w:rsidR="00A40858">
        <w:t>.</w:t>
      </w:r>
    </w:p>
    <w:p w14:paraId="1243B465" w14:textId="77777777" w:rsidR="00AA7B71" w:rsidRDefault="00D87C14" w:rsidP="0065429D">
      <w:pPr>
        <w:pStyle w:val="BodyText"/>
      </w:pPr>
      <w:r w:rsidRPr="00D87C14">
        <w:t>We hope you find this example handbook useful and we welcome your feedback for future improvements.</w:t>
      </w:r>
      <w:bookmarkStart w:id="25" w:name="_Toc347934413"/>
    </w:p>
    <w:p w14:paraId="47D56AB6" w14:textId="7E231256" w:rsidR="006222A3" w:rsidRDefault="009868EE">
      <w:r>
        <w:br w:type="page"/>
      </w:r>
      <w:r w:rsidR="006222A3">
        <w:lastRenderedPageBreak/>
        <w:br w:type="page"/>
      </w:r>
    </w:p>
    <w:p w14:paraId="35A9EDAA" w14:textId="77777777" w:rsidR="00D87C14" w:rsidRDefault="00D87C14" w:rsidP="006222A3">
      <w:pPr>
        <w:pStyle w:val="Heading1"/>
      </w:pPr>
      <w:bookmarkStart w:id="26" w:name="_Toc352681808"/>
      <w:bookmarkStart w:id="27" w:name="_Toc352773470"/>
      <w:bookmarkStart w:id="28" w:name="_Toc352773570"/>
      <w:bookmarkStart w:id="29" w:name="_Toc448404199"/>
      <w:r>
        <w:lastRenderedPageBreak/>
        <w:t>How to Use This Guide</w:t>
      </w:r>
      <w:bookmarkEnd w:id="25"/>
      <w:bookmarkEnd w:id="26"/>
      <w:bookmarkEnd w:id="27"/>
      <w:bookmarkEnd w:id="28"/>
      <w:bookmarkEnd w:id="29"/>
    </w:p>
    <w:p w14:paraId="530F5F2F" w14:textId="77777777" w:rsidR="003E4B93" w:rsidRDefault="003E4B93" w:rsidP="003E4B93">
      <w:pPr>
        <w:pStyle w:val="Heading2"/>
      </w:pPr>
      <w:bookmarkStart w:id="30" w:name="_Toc352681809"/>
      <w:bookmarkStart w:id="31" w:name="_Toc352773471"/>
      <w:bookmarkStart w:id="32" w:name="_Toc352773571"/>
      <w:bookmarkStart w:id="33" w:name="_Toc448404200"/>
      <w:r>
        <w:t>Modify These Examples to Fit Your CIL</w:t>
      </w:r>
      <w:bookmarkEnd w:id="30"/>
      <w:bookmarkEnd w:id="31"/>
      <w:bookmarkEnd w:id="32"/>
      <w:bookmarkEnd w:id="33"/>
    </w:p>
    <w:p w14:paraId="0FC37268" w14:textId="687EDD19" w:rsidR="002F7A04" w:rsidRDefault="002F7A04" w:rsidP="00B81F95">
      <w:pPr>
        <w:pStyle w:val="BodyText"/>
      </w:pPr>
      <w:r w:rsidRPr="002F7A04">
        <w:t xml:space="preserve">Use this guide to help ensure that your own financial policies and procedures provide a comprehensive context for sound fiscal management in your center. Review the material carefully, consider your center’s circumstances, and then adopt those </w:t>
      </w:r>
      <w:r w:rsidR="00A942E5">
        <w:t xml:space="preserve">policies </w:t>
      </w:r>
      <w:r w:rsidRPr="002F7A04">
        <w:t xml:space="preserve">that apply to your </w:t>
      </w:r>
      <w:r w:rsidR="00A942E5">
        <w:t>center</w:t>
      </w:r>
      <w:r w:rsidR="007A2D73">
        <w:t>.</w:t>
      </w:r>
    </w:p>
    <w:p w14:paraId="5808BB93" w14:textId="77777777" w:rsidR="00D54374" w:rsidRDefault="00D54374" w:rsidP="00B81F95">
      <w:pPr>
        <w:pStyle w:val="BodyText"/>
      </w:pPr>
      <w:r>
        <w:t xml:space="preserve">To illustrate examples of policies for </w:t>
      </w:r>
      <w:r w:rsidR="00A942E5">
        <w:t xml:space="preserve">CILs, </w:t>
      </w:r>
      <w:r>
        <w:t xml:space="preserve">we have created a fictitious CIL, PENN CIL. Using a nonexistent CIL allowed us to craft generic policies </w:t>
      </w:r>
      <w:r w:rsidR="002F7A04">
        <w:t xml:space="preserve">that would have meaning for as many different circumstances as possible. Even so, no set of example policies can be applied in any organization without careful thought and revision to meet the specific </w:t>
      </w:r>
      <w:r w:rsidR="00A942E5">
        <w:t xml:space="preserve">requirements </w:t>
      </w:r>
      <w:r w:rsidR="002F7A04">
        <w:t>of the organization.</w:t>
      </w:r>
    </w:p>
    <w:p w14:paraId="6210CE4B" w14:textId="57B31196" w:rsidR="00ED20AD" w:rsidRDefault="00EE4710" w:rsidP="00B81F95">
      <w:pPr>
        <w:pStyle w:val="BodyText"/>
      </w:pPr>
      <w:r>
        <w:t xml:space="preserve">In almost all cases, the example policies will need to be modified. </w:t>
      </w:r>
      <w:r w:rsidR="00504E62">
        <w:t xml:space="preserve">Do not just duplicate the </w:t>
      </w:r>
      <w:r>
        <w:t>examples.</w:t>
      </w:r>
      <w:r w:rsidR="00504E62">
        <w:t xml:space="preserve"> </w:t>
      </w:r>
      <w:r w:rsidR="00FD39EF">
        <w:t xml:space="preserve">Duplicating </w:t>
      </w:r>
      <w:r>
        <w:t xml:space="preserve">them </w:t>
      </w:r>
      <w:r w:rsidR="00FD39EF">
        <w:t xml:space="preserve">without careful thought </w:t>
      </w:r>
      <w:r w:rsidR="00A40858">
        <w:t xml:space="preserve">as </w:t>
      </w:r>
      <w:r w:rsidR="00FD39EF">
        <w:t xml:space="preserve">to how your own center operates will be counterproductive. </w:t>
      </w:r>
      <w:r>
        <w:t xml:space="preserve">Without modifications, the examples will be a poor fit for your center. </w:t>
      </w:r>
      <w:r w:rsidR="00FD39EF">
        <w:t>For example, y</w:t>
      </w:r>
      <w:r w:rsidR="00CC0597">
        <w:t xml:space="preserve">our staff may </w:t>
      </w:r>
      <w:r w:rsidR="00ED20AD">
        <w:t>have different titles</w:t>
      </w:r>
      <w:r w:rsidR="00CD643C">
        <w:t>,</w:t>
      </w:r>
      <w:r w:rsidR="00B8699C">
        <w:t xml:space="preserve"> or</w:t>
      </w:r>
      <w:r w:rsidR="00ED20AD">
        <w:t xml:space="preserve"> t</w:t>
      </w:r>
      <w:r w:rsidR="00DE1054">
        <w:t>he size of your budget may determine whether your CIL co</w:t>
      </w:r>
      <w:r w:rsidR="003B7C75">
        <w:t>ntracts with an outside auditor</w:t>
      </w:r>
      <w:r w:rsidR="00A40858">
        <w:t xml:space="preserve"> for a compliance audit, or a simple financial statement audit</w:t>
      </w:r>
      <w:r w:rsidR="00B8699C">
        <w:t>.</w:t>
      </w:r>
    </w:p>
    <w:p w14:paraId="39C6EF8F" w14:textId="77777777" w:rsidR="00DE65C8" w:rsidRDefault="00DE65C8" w:rsidP="003E4B93">
      <w:pPr>
        <w:pStyle w:val="Heading2"/>
      </w:pPr>
      <w:bookmarkStart w:id="34" w:name="_Toc352681810"/>
      <w:bookmarkStart w:id="35" w:name="_Toc352773472"/>
      <w:bookmarkStart w:id="36" w:name="_Toc352773572"/>
      <w:bookmarkStart w:id="37" w:name="_Toc448404201"/>
      <w:r>
        <w:t>Recommendations for Developing Policies and Maintaining a Policy Manual</w:t>
      </w:r>
      <w:bookmarkEnd w:id="34"/>
      <w:bookmarkEnd w:id="35"/>
      <w:bookmarkEnd w:id="36"/>
      <w:bookmarkEnd w:id="37"/>
    </w:p>
    <w:p w14:paraId="1FE11266" w14:textId="77777777" w:rsidR="00DE65C8" w:rsidRDefault="00DE65C8" w:rsidP="00E21E95">
      <w:pPr>
        <w:pStyle w:val="BodyText"/>
      </w:pPr>
      <w:r>
        <w:t>B</w:t>
      </w:r>
      <w:r w:rsidR="00D87C14">
        <w:t xml:space="preserve">efore developing </w:t>
      </w:r>
      <w:r w:rsidR="00ED20AD">
        <w:t>a policies and procedures manual</w:t>
      </w:r>
      <w:r w:rsidR="00D87C14">
        <w:t>,</w:t>
      </w:r>
      <w:r w:rsidR="00ED20AD">
        <w:t xml:space="preserve"> </w:t>
      </w:r>
      <w:r w:rsidR="00D87C14">
        <w:t xml:space="preserve">your board of directors must </w:t>
      </w:r>
      <w:r w:rsidR="00ED20AD">
        <w:t xml:space="preserve">establish </w:t>
      </w:r>
      <w:r w:rsidR="00D87C14">
        <w:t xml:space="preserve">the </w:t>
      </w:r>
      <w:r w:rsidR="00ED20AD">
        <w:t>procedure</w:t>
      </w:r>
      <w:r w:rsidR="00D87C14">
        <w:t>s</w:t>
      </w:r>
      <w:r w:rsidR="00423615">
        <w:t xml:space="preserve"> the b</w:t>
      </w:r>
      <w:r w:rsidR="00ED20AD">
        <w:t>oard and sta</w:t>
      </w:r>
      <w:r w:rsidR="004D0265">
        <w:t xml:space="preserve">ff </w:t>
      </w:r>
      <w:r w:rsidR="00D87C14">
        <w:t xml:space="preserve">will </w:t>
      </w:r>
      <w:r w:rsidR="004D0265">
        <w:t xml:space="preserve">use to </w:t>
      </w:r>
      <w:r w:rsidR="004D0265" w:rsidRPr="004D541D">
        <w:t>fashion</w:t>
      </w:r>
      <w:r w:rsidR="00ED20AD" w:rsidRPr="004D541D">
        <w:t xml:space="preserve"> new</w:t>
      </w:r>
      <w:r w:rsidR="00ED20AD">
        <w:t xml:space="preserve"> </w:t>
      </w:r>
      <w:r w:rsidR="00B81F95">
        <w:t xml:space="preserve">policies </w:t>
      </w:r>
      <w:r w:rsidR="00B31E39">
        <w:t xml:space="preserve">and procedures </w:t>
      </w:r>
      <w:r w:rsidR="00ED20AD">
        <w:t xml:space="preserve">or revise existing </w:t>
      </w:r>
      <w:r w:rsidR="00B31E39">
        <w:t>ones.</w:t>
      </w:r>
    </w:p>
    <w:p w14:paraId="188B978B" w14:textId="77777777" w:rsidR="00DE65C8" w:rsidRDefault="00DE65C8" w:rsidP="00B14700">
      <w:pPr>
        <w:pStyle w:val="ListBullet"/>
      </w:pPr>
      <w:r>
        <w:t>Establish a board finance committee if your organization doesn’t already have one.</w:t>
      </w:r>
    </w:p>
    <w:p w14:paraId="3E4163B9" w14:textId="77777777" w:rsidR="00580C35" w:rsidRDefault="00580C35" w:rsidP="0065429D">
      <w:pPr>
        <w:pStyle w:val="ListBullet"/>
      </w:pPr>
      <w:r>
        <w:t>Ensure board and staff are fully engaged in the development process. The more support and involvement there is from board members and key staff members, the easier it will be to both adopt and implement your new policies and procedures.</w:t>
      </w:r>
    </w:p>
    <w:p w14:paraId="6D9B7AD5" w14:textId="2BC29185" w:rsidR="00DE65C8" w:rsidRDefault="00DE65C8" w:rsidP="0065429D">
      <w:pPr>
        <w:pStyle w:val="ListBullet"/>
      </w:pPr>
      <w:r>
        <w:t xml:space="preserve">Determine roles and responsibilities for board committees, the board, executive director, </w:t>
      </w:r>
      <w:r w:rsidR="00191FCB">
        <w:t xml:space="preserve">and </w:t>
      </w:r>
      <w:r>
        <w:t>accountant or bookkeeper in developing policies.</w:t>
      </w:r>
    </w:p>
    <w:p w14:paraId="00C43A4A" w14:textId="77777777" w:rsidR="00DE65C8" w:rsidRDefault="00DE65C8" w:rsidP="0065429D">
      <w:pPr>
        <w:pStyle w:val="ListBullet"/>
      </w:pPr>
      <w:r>
        <w:t>Determine a process for review and approval, including final approval by the full board.</w:t>
      </w:r>
    </w:p>
    <w:p w14:paraId="02FCD492" w14:textId="2A4ADBC8" w:rsidR="00DE65C8" w:rsidRDefault="00DE65C8" w:rsidP="0065429D">
      <w:pPr>
        <w:pStyle w:val="ListBullet"/>
      </w:pPr>
      <w:r>
        <w:t>Ensure that board minutes reflect the date of adoption of the policies and procedures and of any revisions.</w:t>
      </w:r>
      <w:r w:rsidR="00CD76F5">
        <w:t xml:space="preserve"> </w:t>
      </w:r>
    </w:p>
    <w:p w14:paraId="3873948C" w14:textId="651CC47F" w:rsidR="00EE4710" w:rsidRDefault="00DE65C8" w:rsidP="0065429D">
      <w:pPr>
        <w:pStyle w:val="ListBullet"/>
      </w:pPr>
      <w:r>
        <w:t xml:space="preserve">Ensure the financial management policies and procedures document </w:t>
      </w:r>
      <w:r w:rsidR="00580C35">
        <w:t>shows the date of adoption or revision by the full board. Show the adoption date on the cover page and in headers or footers of pages.</w:t>
      </w:r>
      <w:r w:rsidR="006E430E">
        <w:t xml:space="preserve"> It is useful for the policy document to list dates of revisions as they occur, in addition to the o</w:t>
      </w:r>
      <w:r w:rsidR="00191FCB">
        <w:t>riginal adoption date, to show your continual efforts at sound financial management.</w:t>
      </w:r>
    </w:p>
    <w:p w14:paraId="451683FA" w14:textId="77777777" w:rsidR="000E3011" w:rsidRDefault="000E3011" w:rsidP="0065429D">
      <w:pPr>
        <w:pStyle w:val="ListBullet"/>
      </w:pPr>
      <w:r>
        <w:lastRenderedPageBreak/>
        <w:t>Establish a time period in which the policies and procedures document will b</w:t>
      </w:r>
      <w:r w:rsidR="00760CBA">
        <w:t>e reviewed and updated.</w:t>
      </w:r>
      <w:r w:rsidR="00CD76F5">
        <w:t xml:space="preserve"> For example, annual review might be appropriate.</w:t>
      </w:r>
    </w:p>
    <w:p w14:paraId="0BD1F97F" w14:textId="3831ED49" w:rsidR="00EE678E" w:rsidRDefault="00EE678E" w:rsidP="0065429D">
      <w:pPr>
        <w:pStyle w:val="ListBullet"/>
      </w:pPr>
      <w:r>
        <w:t xml:space="preserve">Schedule initial and periodic training for all staff whose job responsibilities will be affected by the </w:t>
      </w:r>
      <w:r w:rsidR="00F446A0">
        <w:t xml:space="preserve">policies and </w:t>
      </w:r>
      <w:r>
        <w:t>regulations above</w:t>
      </w:r>
      <w:r w:rsidR="006E430E">
        <w:t>.</w:t>
      </w:r>
    </w:p>
    <w:p w14:paraId="115D314A" w14:textId="77777777" w:rsidR="002F7A04" w:rsidRDefault="002F7A04" w:rsidP="003E4B93">
      <w:pPr>
        <w:pStyle w:val="Heading2"/>
      </w:pPr>
      <w:bookmarkStart w:id="38" w:name="_Toc352681811"/>
      <w:bookmarkStart w:id="39" w:name="_Toc352773473"/>
      <w:bookmarkStart w:id="40" w:name="_Toc352773573"/>
      <w:bookmarkStart w:id="41" w:name="_Toc448404202"/>
      <w:r>
        <w:t>Additional Resources</w:t>
      </w:r>
      <w:bookmarkEnd w:id="38"/>
      <w:bookmarkEnd w:id="39"/>
      <w:bookmarkEnd w:id="40"/>
      <w:bookmarkEnd w:id="41"/>
    </w:p>
    <w:p w14:paraId="3F38A78B" w14:textId="0D7288C7" w:rsidR="002F7A04" w:rsidRPr="002F7A04" w:rsidRDefault="003E4B93" w:rsidP="002F7A04">
      <w:pPr>
        <w:pStyle w:val="BodyText"/>
      </w:pPr>
      <w:r>
        <w:t xml:space="preserve">You are encouraged to review examples of policies on an ongoing basis to keep up with changes and best practice approaches to financial management. </w:t>
      </w:r>
      <w:r w:rsidR="002F7A04">
        <w:t xml:space="preserve">Additional resources for developing policies are shown in </w:t>
      </w:r>
      <w:r w:rsidR="00F54711" w:rsidRPr="00B16C0A">
        <w:fldChar w:fldCharType="begin"/>
      </w:r>
      <w:r w:rsidR="00F2149D" w:rsidRPr="00B16C0A">
        <w:instrText xml:space="preserve"> REF _Ref349201206 \h </w:instrText>
      </w:r>
      <w:r w:rsidR="00FD360A" w:rsidRPr="00B16C0A">
        <w:instrText xml:space="preserve"> \* MERGEFORMAT </w:instrText>
      </w:r>
      <w:r w:rsidR="00F54711" w:rsidRPr="00B16C0A">
        <w:fldChar w:fldCharType="separate"/>
      </w:r>
      <w:r w:rsidR="00E24B0B">
        <w:t>Appendix VI</w:t>
      </w:r>
      <w:r w:rsidR="00E24B0B">
        <w:br/>
        <w:t>Policy Development Resources</w:t>
      </w:r>
      <w:r w:rsidR="00F54711" w:rsidRPr="00B16C0A">
        <w:fldChar w:fldCharType="end"/>
      </w:r>
      <w:r w:rsidR="00A942E5" w:rsidRPr="00B16C0A">
        <w:t>.</w:t>
      </w:r>
      <w:r w:rsidR="00A942E5">
        <w:t xml:space="preserve"> </w:t>
      </w:r>
      <w:r>
        <w:t xml:space="preserve">Along with </w:t>
      </w:r>
      <w:r w:rsidR="00A942E5">
        <w:t xml:space="preserve">resources for financial policies, you will also find references for personnel </w:t>
      </w:r>
      <w:r w:rsidR="00CD643C">
        <w:t>and</w:t>
      </w:r>
      <w:r w:rsidR="00A942E5">
        <w:t xml:space="preserve"> whistleblower policies and other useful materials.</w:t>
      </w:r>
    </w:p>
    <w:p w14:paraId="7B805A28" w14:textId="77777777" w:rsidR="002F7A04" w:rsidRPr="006F731C" w:rsidRDefault="002F7A04" w:rsidP="00A942E5">
      <w:pPr>
        <w:pStyle w:val="BodyText"/>
        <w:sectPr w:rsidR="002F7A04" w:rsidRPr="006F731C" w:rsidSect="00BD1AA5">
          <w:footerReference w:type="default" r:id="rId13"/>
          <w:pgSz w:w="12240" w:h="15840" w:code="1"/>
          <w:pgMar w:top="1440" w:right="1440" w:bottom="864" w:left="1440" w:header="720" w:footer="720" w:gutter="0"/>
          <w:pgNumType w:fmt="lowerRoman"/>
          <w:cols w:space="720"/>
          <w:noEndnote/>
          <w:docGrid w:linePitch="326"/>
        </w:sectPr>
      </w:pPr>
    </w:p>
    <w:p w14:paraId="060FA87F" w14:textId="77777777" w:rsidR="00157235" w:rsidRDefault="00280FFA" w:rsidP="00004536">
      <w:pPr>
        <w:pStyle w:val="Heading1"/>
      </w:pPr>
      <w:bookmarkStart w:id="42" w:name="_Toc347934414"/>
      <w:bookmarkStart w:id="43" w:name="_Toc352681812"/>
      <w:bookmarkStart w:id="44" w:name="_Toc352773474"/>
      <w:bookmarkStart w:id="45" w:name="_Toc352773574"/>
      <w:bookmarkStart w:id="46" w:name="_Toc448404203"/>
      <w:r>
        <w:lastRenderedPageBreak/>
        <w:t>E</w:t>
      </w:r>
      <w:r w:rsidRPr="00C602E2">
        <w:t xml:space="preserve">xample </w:t>
      </w:r>
      <w:r>
        <w:t>F</w:t>
      </w:r>
      <w:r w:rsidRPr="00C602E2">
        <w:t xml:space="preserve">iscal </w:t>
      </w:r>
      <w:r>
        <w:t>P</w:t>
      </w:r>
      <w:r w:rsidRPr="00C602E2">
        <w:t xml:space="preserve">olicies and </w:t>
      </w:r>
      <w:r>
        <w:t>P</w:t>
      </w:r>
      <w:r w:rsidRPr="00C602E2">
        <w:t xml:space="preserve">rocedures </w:t>
      </w:r>
      <w:r>
        <w:br/>
        <w:t>H</w:t>
      </w:r>
      <w:r w:rsidRPr="00E70003">
        <w:t>andbook</w:t>
      </w:r>
      <w:bookmarkEnd w:id="42"/>
      <w:r>
        <w:t xml:space="preserve"> for </w:t>
      </w:r>
      <w:r w:rsidR="00D54374">
        <w:t>PENN CIL</w:t>
      </w:r>
      <w:r>
        <w:t xml:space="preserve"> (</w:t>
      </w:r>
      <w:r w:rsidR="005B779E">
        <w:t>a Fictional CIL</w:t>
      </w:r>
      <w:r>
        <w:t>)</w:t>
      </w:r>
      <w:bookmarkEnd w:id="43"/>
      <w:bookmarkEnd w:id="44"/>
      <w:bookmarkEnd w:id="45"/>
      <w:bookmarkEnd w:id="46"/>
    </w:p>
    <w:p w14:paraId="21BFBC46" w14:textId="77777777" w:rsidR="00157235" w:rsidRPr="00E70003" w:rsidRDefault="00157235" w:rsidP="00004536">
      <w:pPr>
        <w:pStyle w:val="Heading2"/>
      </w:pPr>
      <w:bookmarkStart w:id="47" w:name="_Toc346626455"/>
      <w:bookmarkStart w:id="48" w:name="_Toc347934415"/>
      <w:bookmarkStart w:id="49" w:name="_Toc352681813"/>
      <w:bookmarkStart w:id="50" w:name="_Toc352773475"/>
      <w:bookmarkStart w:id="51" w:name="_Toc352773575"/>
      <w:bookmarkStart w:id="52" w:name="_Toc448404204"/>
      <w:r w:rsidRPr="00585469">
        <w:t>Introduction</w:t>
      </w:r>
      <w:bookmarkEnd w:id="47"/>
      <w:bookmarkEnd w:id="48"/>
      <w:bookmarkEnd w:id="49"/>
      <w:bookmarkEnd w:id="50"/>
      <w:bookmarkEnd w:id="51"/>
      <w:bookmarkEnd w:id="52"/>
    </w:p>
    <w:p w14:paraId="53A67C61" w14:textId="77777777" w:rsidR="00981F27" w:rsidRPr="00E70003" w:rsidRDefault="00321283" w:rsidP="00E70003">
      <w:pPr>
        <w:pStyle w:val="BodyText"/>
      </w:pPr>
      <w:r w:rsidRPr="00E70003">
        <w:t>PENN CIL</w:t>
      </w:r>
      <w:r w:rsidR="00545FE8">
        <w:rPr>
          <w:rStyle w:val="FootnoteReference"/>
        </w:rPr>
        <w:footnoteReference w:id="2"/>
      </w:r>
      <w:r w:rsidR="00981F27" w:rsidRPr="00E70003">
        <w:t xml:space="preserve"> </w:t>
      </w:r>
      <w:r w:rsidR="0031569B" w:rsidRPr="00E70003">
        <w:t>is a 501</w:t>
      </w:r>
      <w:r w:rsidR="004361D7" w:rsidRPr="00E70003">
        <w:t>(</w:t>
      </w:r>
      <w:r w:rsidR="00417C15" w:rsidRPr="00E70003">
        <w:t>c)</w:t>
      </w:r>
      <w:r w:rsidR="0031569B" w:rsidRPr="00E70003">
        <w:t xml:space="preserve">(3) nonprofit organization that provides services to </w:t>
      </w:r>
      <w:r w:rsidR="00F2149D">
        <w:t xml:space="preserve">and supports community inclusion for </w:t>
      </w:r>
      <w:r w:rsidR="0031569B" w:rsidRPr="00E70003">
        <w:t xml:space="preserve">people with disabilities. The </w:t>
      </w:r>
      <w:r w:rsidR="00B03384">
        <w:t>Center for Independent Living (CIL)</w:t>
      </w:r>
      <w:r w:rsidR="0031569B" w:rsidRPr="00E70003">
        <w:t xml:space="preserve"> was created by people with disabilities seeking full integration into society. PENN CIL accomplishes </w:t>
      </w:r>
      <w:r w:rsidR="00504E62">
        <w:t xml:space="preserve">its mission </w:t>
      </w:r>
      <w:r w:rsidR="0031569B" w:rsidRPr="00E70003">
        <w:t xml:space="preserve">by empowering people with disabilities with the practical skills and self-confidence to take control over their lives and become active members of the community in which they live. </w:t>
      </w:r>
      <w:r w:rsidR="006535AB" w:rsidRPr="00E70003">
        <w:t>PENN CIL a</w:t>
      </w:r>
      <w:r w:rsidR="0031569B" w:rsidRPr="00E70003">
        <w:t xml:space="preserve">lso works to promote access and change within society and responds with programs and services to </w:t>
      </w:r>
      <w:r w:rsidR="00AD4F61">
        <w:t xml:space="preserve">meet </w:t>
      </w:r>
      <w:r w:rsidR="0031569B" w:rsidRPr="00E70003">
        <w:t>the needs of people of all ages with a wide range of disabilities</w:t>
      </w:r>
      <w:r w:rsidR="00933B8F" w:rsidRPr="00E70003">
        <w:t>.</w:t>
      </w:r>
    </w:p>
    <w:p w14:paraId="34FE82DC" w14:textId="19A07D1E" w:rsidR="004C3624" w:rsidRDefault="00504E62" w:rsidP="0051067B">
      <w:pPr>
        <w:pStyle w:val="BodyText"/>
      </w:pPr>
      <w:r>
        <w:t xml:space="preserve">This manual describes the policies and procedures followed at </w:t>
      </w:r>
      <w:r w:rsidR="00321283" w:rsidRPr="00E70003">
        <w:t>PENN CIL</w:t>
      </w:r>
      <w:r w:rsidR="004C3624" w:rsidRPr="00E70003">
        <w:t xml:space="preserve"> to ensure that financial statements conform to generally accepted accounting principles; assets are safeguarded; </w:t>
      </w:r>
      <w:r w:rsidR="00D35DCD">
        <w:t xml:space="preserve">regulations or </w:t>
      </w:r>
      <w:r w:rsidR="004C3624" w:rsidRPr="00E70003">
        <w:t xml:space="preserve">guidelines of grantors and donors are </w:t>
      </w:r>
      <w:r w:rsidR="00D35DCD">
        <w:t>followed</w:t>
      </w:r>
      <w:r w:rsidR="004C3624" w:rsidRPr="00E70003">
        <w:t>; and that finances are managed with accuracy, efficiency, and transparency.</w:t>
      </w:r>
    </w:p>
    <w:p w14:paraId="22EF01CC" w14:textId="10DD0078" w:rsidR="00A67859" w:rsidRDefault="00DB16DE" w:rsidP="0096699C">
      <w:pPr>
        <w:pStyle w:val="BodyText"/>
      </w:pPr>
      <w:r>
        <w:t xml:space="preserve">As a nonprofit recipient of federal grant funds, </w:t>
      </w:r>
      <w:r w:rsidR="002A7B90" w:rsidRPr="002A7B90">
        <w:t xml:space="preserve">PENN CIL will comply with the General Principles </w:t>
      </w:r>
      <w:r w:rsidR="00CD76F5" w:rsidRPr="002A7B90">
        <w:t>in Uniform</w:t>
      </w:r>
      <w:r w:rsidR="00030192">
        <w:t xml:space="preserve"> Guidance</w:t>
      </w:r>
      <w:r w:rsidR="00EE678E">
        <w:t xml:space="preserve"> </w:t>
      </w:r>
      <w:r w:rsidR="00A90F67">
        <w:t xml:space="preserve">to </w:t>
      </w:r>
      <w:r w:rsidR="00C71CCE">
        <w:t>e</w:t>
      </w:r>
      <w:r w:rsidR="00A90F67" w:rsidRPr="00A90F67">
        <w:t>nsur</w:t>
      </w:r>
      <w:r w:rsidR="00A90F67">
        <w:t xml:space="preserve">e </w:t>
      </w:r>
      <w:r w:rsidR="00A90F67" w:rsidRPr="00A90F67">
        <w:t>costs are reasonable, allowable, and properly allocated</w:t>
      </w:r>
      <w:r w:rsidR="00CF5167">
        <w:t>.</w:t>
      </w:r>
      <w:r w:rsidR="00CF5167">
        <w:rPr>
          <w:rStyle w:val="FootnoteReference"/>
        </w:rPr>
        <w:footnoteReference w:id="3"/>
      </w:r>
      <w:r w:rsidR="007823A2">
        <w:t xml:space="preserve"> </w:t>
      </w:r>
    </w:p>
    <w:p w14:paraId="4624BAB6" w14:textId="77777777" w:rsidR="00791E73" w:rsidRDefault="00C81004" w:rsidP="0096699C">
      <w:pPr>
        <w:pStyle w:val="BodyText"/>
      </w:pPr>
      <w:r>
        <w:t xml:space="preserve">Following these policies and procedures will help </w:t>
      </w:r>
      <w:r w:rsidR="004A3FE6" w:rsidRPr="00E70003">
        <w:t xml:space="preserve">safeguard the </w:t>
      </w:r>
      <w:r w:rsidR="00545FE8">
        <w:t>CIL</w:t>
      </w:r>
      <w:r w:rsidR="004A3FE6" w:rsidRPr="00E70003">
        <w:t xml:space="preserve">’s assets and </w:t>
      </w:r>
      <w:r>
        <w:t xml:space="preserve">ensure </w:t>
      </w:r>
      <w:r w:rsidR="004A3FE6" w:rsidRPr="00E70003">
        <w:t xml:space="preserve">that they are used for appropriate purposes based on </w:t>
      </w:r>
      <w:r>
        <w:t xml:space="preserve">organizational </w:t>
      </w:r>
      <w:r w:rsidR="004A3FE6" w:rsidRPr="00E70003">
        <w:t xml:space="preserve">objectives, the requirements </w:t>
      </w:r>
      <w:r w:rsidR="006C3A80">
        <w:t xml:space="preserve">of </w:t>
      </w:r>
      <w:r w:rsidR="004A3FE6" w:rsidRPr="00E70003">
        <w:t xml:space="preserve">funders, </w:t>
      </w:r>
      <w:r w:rsidR="006C3A80">
        <w:t xml:space="preserve">other </w:t>
      </w:r>
      <w:r>
        <w:t xml:space="preserve">applicable </w:t>
      </w:r>
      <w:r w:rsidR="004A3FE6" w:rsidRPr="00E70003">
        <w:t xml:space="preserve">rules </w:t>
      </w:r>
      <w:r>
        <w:t xml:space="preserve">and </w:t>
      </w:r>
      <w:r w:rsidR="004A3FE6" w:rsidRPr="00E70003">
        <w:t>regulations</w:t>
      </w:r>
      <w:r>
        <w:t>,</w:t>
      </w:r>
      <w:r w:rsidR="004A3FE6" w:rsidRPr="00E70003">
        <w:t xml:space="preserve"> and best practices for nonprofit organizations</w:t>
      </w:r>
      <w:r w:rsidR="00157235" w:rsidRPr="00E70003">
        <w:t>.</w:t>
      </w:r>
    </w:p>
    <w:p w14:paraId="0A1BBC86" w14:textId="77777777" w:rsidR="002A7B90" w:rsidRPr="0096699C" w:rsidRDefault="002A7B90" w:rsidP="00004536">
      <w:pPr>
        <w:pStyle w:val="Heading2"/>
      </w:pPr>
      <w:bookmarkStart w:id="53" w:name="_Toc347934416"/>
      <w:bookmarkStart w:id="54" w:name="_Toc352681814"/>
      <w:bookmarkStart w:id="55" w:name="_Toc352773476"/>
      <w:bookmarkStart w:id="56" w:name="_Toc352773576"/>
      <w:bookmarkStart w:id="57" w:name="_Toc448404205"/>
      <w:r>
        <w:t xml:space="preserve">Consistency with Independent Living </w:t>
      </w:r>
      <w:r w:rsidRPr="002A7B90">
        <w:t xml:space="preserve">Program </w:t>
      </w:r>
      <w:r w:rsidR="005053B3">
        <w:t>P</w:t>
      </w:r>
      <w:r>
        <w:t xml:space="preserve">urpose </w:t>
      </w:r>
      <w:r w:rsidRPr="002A7B90">
        <w:t>and Philosophy</w:t>
      </w:r>
      <w:bookmarkEnd w:id="53"/>
      <w:bookmarkEnd w:id="54"/>
      <w:bookmarkEnd w:id="55"/>
      <w:bookmarkEnd w:id="56"/>
      <w:bookmarkEnd w:id="57"/>
    </w:p>
    <w:p w14:paraId="651C2370" w14:textId="2AB98960" w:rsidR="002A7B90" w:rsidRDefault="002A7B90" w:rsidP="0096699C">
      <w:pPr>
        <w:pStyle w:val="BodyText"/>
      </w:pPr>
      <w:r>
        <w:t xml:space="preserve">All activities and operations shall be </w:t>
      </w:r>
      <w:r w:rsidRPr="002A7B90">
        <w:t xml:space="preserve">consistent with the </w:t>
      </w:r>
      <w:r w:rsidR="00491B65">
        <w:t xml:space="preserve">independent living approach. </w:t>
      </w:r>
      <w:r>
        <w:t>Specifically, expenditures for activities funded through Title VII</w:t>
      </w:r>
      <w:r w:rsidR="00391121">
        <w:t>, Chapter 1, Part C,</w:t>
      </w:r>
      <w:r>
        <w:t xml:space="preserve"> of the Rehabilitation Act</w:t>
      </w:r>
      <w:r w:rsidR="00391121">
        <w:t xml:space="preserve"> of 1973, </w:t>
      </w:r>
      <w:r w:rsidR="00EE678E">
        <w:t>a</w:t>
      </w:r>
      <w:r w:rsidR="00CD76F5">
        <w:t xml:space="preserve">s amended by </w:t>
      </w:r>
      <w:r w:rsidR="00EE678E" w:rsidRPr="00832A77">
        <w:rPr>
          <w:rFonts w:eastAsia="Times New Roman" w:cs="Arial"/>
          <w:szCs w:val="24"/>
          <w:lang w:val="en"/>
        </w:rPr>
        <w:t>The Workfo</w:t>
      </w:r>
      <w:r w:rsidR="00566AEA">
        <w:rPr>
          <w:rFonts w:eastAsia="Times New Roman" w:cs="Arial"/>
          <w:szCs w:val="24"/>
          <w:lang w:val="en"/>
        </w:rPr>
        <w:t>rce Innovation and Opportunity</w:t>
      </w:r>
      <w:r w:rsidR="00EE678E" w:rsidRPr="00832A77">
        <w:rPr>
          <w:rFonts w:eastAsia="Times New Roman" w:cs="Arial"/>
          <w:szCs w:val="24"/>
          <w:lang w:val="en"/>
        </w:rPr>
        <w:t xml:space="preserve"> Act of 2014 (WIOA)</w:t>
      </w:r>
      <w:r w:rsidR="00CE1550" w:rsidRPr="001E4A90">
        <w:rPr>
          <w:rFonts w:cs="Arial"/>
          <w:szCs w:val="24"/>
        </w:rPr>
        <w:t>,</w:t>
      </w:r>
      <w:r w:rsidRPr="001E4A90">
        <w:rPr>
          <w:rFonts w:cs="Arial"/>
          <w:szCs w:val="24"/>
        </w:rPr>
        <w:t xml:space="preserve"> </w:t>
      </w:r>
      <w:r>
        <w:t xml:space="preserve">will be consistent with </w:t>
      </w:r>
      <w:r w:rsidR="00FB579F">
        <w:t>the IL program purpose and philosophy, particularly in the delivery of IL core services and other IL services.</w:t>
      </w:r>
    </w:p>
    <w:p w14:paraId="038879D3" w14:textId="77777777" w:rsidR="00485EB8" w:rsidRPr="00261181" w:rsidRDefault="00472DB6" w:rsidP="00004536">
      <w:pPr>
        <w:pStyle w:val="Heading2"/>
      </w:pPr>
      <w:bookmarkStart w:id="58" w:name="_Toc352681815"/>
      <w:bookmarkStart w:id="59" w:name="_Toc352773477"/>
      <w:bookmarkStart w:id="60" w:name="_Toc352773577"/>
      <w:bookmarkStart w:id="61" w:name="_Toc448404206"/>
      <w:r w:rsidRPr="00261181">
        <w:lastRenderedPageBreak/>
        <w:t xml:space="preserve">Board, Staff and Consultant </w:t>
      </w:r>
      <w:bookmarkStart w:id="62" w:name="_Toc346626457"/>
      <w:bookmarkStart w:id="63" w:name="_Toc347934417"/>
      <w:r w:rsidR="004D541D" w:rsidRPr="00261181">
        <w:t>Re</w:t>
      </w:r>
      <w:r w:rsidR="004D541D" w:rsidRPr="006F731C">
        <w:t>sponsibilities</w:t>
      </w:r>
      <w:bookmarkEnd w:id="58"/>
      <w:bookmarkEnd w:id="59"/>
      <w:bookmarkEnd w:id="60"/>
      <w:bookmarkEnd w:id="61"/>
      <w:bookmarkEnd w:id="62"/>
      <w:bookmarkEnd w:id="63"/>
    </w:p>
    <w:p w14:paraId="25B649FA" w14:textId="77777777" w:rsidR="00A67859" w:rsidRDefault="006062E5" w:rsidP="00E70003">
      <w:pPr>
        <w:pStyle w:val="BodyText"/>
      </w:pPr>
      <w:r w:rsidRPr="00E70003">
        <w:t>The following is a list of p</w:t>
      </w:r>
      <w:r w:rsidR="0052555E" w:rsidRPr="00E70003">
        <w:t>arties</w:t>
      </w:r>
      <w:r w:rsidRPr="00E70003">
        <w:t xml:space="preserve"> who have fiscal, administrative, </w:t>
      </w:r>
      <w:r w:rsidR="00486314" w:rsidRPr="00E70003">
        <w:t>or</w:t>
      </w:r>
      <w:r w:rsidRPr="00E70003">
        <w:t xml:space="preserve"> accounting responsibilities:</w:t>
      </w:r>
    </w:p>
    <w:p w14:paraId="5D40C9BF" w14:textId="53301B9A" w:rsidR="006062E5" w:rsidRPr="0096699C" w:rsidRDefault="006062E5" w:rsidP="00266D8D">
      <w:pPr>
        <w:pStyle w:val="Heading3"/>
      </w:pPr>
      <w:bookmarkStart w:id="64" w:name="_Toc306027034"/>
      <w:bookmarkStart w:id="65" w:name="_Toc346626458"/>
      <w:bookmarkStart w:id="66" w:name="_Toc347934418"/>
      <w:bookmarkStart w:id="67" w:name="_Toc352681816"/>
      <w:bookmarkStart w:id="68" w:name="_Toc352773478"/>
      <w:bookmarkStart w:id="69" w:name="_Toc352773578"/>
      <w:bookmarkStart w:id="70" w:name="_Toc448404207"/>
      <w:r w:rsidRPr="0096699C">
        <w:t>Board of Directors</w:t>
      </w:r>
      <w:bookmarkEnd w:id="64"/>
      <w:r w:rsidRPr="0096699C">
        <w:t xml:space="preserve"> </w:t>
      </w:r>
      <w:r w:rsidR="0052555E" w:rsidRPr="0096699C">
        <w:t xml:space="preserve">(and </w:t>
      </w:r>
      <w:r w:rsidR="00217328">
        <w:t>C</w:t>
      </w:r>
      <w:r w:rsidR="0052555E" w:rsidRPr="0096699C">
        <w:t>ommittees)</w:t>
      </w:r>
      <w:bookmarkEnd w:id="65"/>
      <w:bookmarkEnd w:id="66"/>
      <w:bookmarkEnd w:id="67"/>
      <w:bookmarkEnd w:id="68"/>
      <w:bookmarkEnd w:id="69"/>
      <w:bookmarkEnd w:id="70"/>
    </w:p>
    <w:p w14:paraId="19887AA2" w14:textId="77777777" w:rsidR="008F318B" w:rsidRDefault="008F318B" w:rsidP="0051067B">
      <w:pPr>
        <w:pStyle w:val="ListBullet"/>
      </w:pPr>
      <w:r>
        <w:t>Set, oversee and clearly articulate the organization’s vision, mission</w:t>
      </w:r>
      <w:r w:rsidR="00741E64">
        <w:t>,</w:t>
      </w:r>
      <w:r>
        <w:t xml:space="preserve"> and values.</w:t>
      </w:r>
    </w:p>
    <w:p w14:paraId="23D54EF4" w14:textId="77777777" w:rsidR="00EE6494" w:rsidRDefault="00EE6494" w:rsidP="0051067B">
      <w:pPr>
        <w:pStyle w:val="ListBullet"/>
      </w:pPr>
      <w:r>
        <w:t>Provide leadership and strategic direction for the mission, budget</w:t>
      </w:r>
      <w:r w:rsidR="00545FE8">
        <w:t>,</w:t>
      </w:r>
      <w:r>
        <w:t xml:space="preserve"> and development </w:t>
      </w:r>
      <w:r w:rsidR="00A67859">
        <w:t xml:space="preserve">initiatives </w:t>
      </w:r>
      <w:r>
        <w:t xml:space="preserve">that sustain the </w:t>
      </w:r>
      <w:r w:rsidR="00545FE8">
        <w:t>CIL</w:t>
      </w:r>
      <w:r>
        <w:t>.</w:t>
      </w:r>
    </w:p>
    <w:p w14:paraId="49429FA9" w14:textId="77777777" w:rsidR="00DB5AAC" w:rsidRDefault="006D561C" w:rsidP="0051067B">
      <w:pPr>
        <w:pStyle w:val="ListBullet"/>
      </w:pPr>
      <w:r>
        <w:t>S</w:t>
      </w:r>
      <w:r w:rsidR="00842384" w:rsidRPr="00E70003">
        <w:t xml:space="preserve">et a proper tone for the </w:t>
      </w:r>
      <w:r w:rsidR="00545FE8">
        <w:t>CIL</w:t>
      </w:r>
      <w:r w:rsidR="006062E5" w:rsidRPr="00E70003">
        <w:t xml:space="preserve"> by </w:t>
      </w:r>
      <w:r w:rsidR="00EE6494">
        <w:t xml:space="preserve">articulating a code of ethics, mandating compliance with the code, </w:t>
      </w:r>
      <w:r w:rsidR="006062E5" w:rsidRPr="00E70003">
        <w:t xml:space="preserve">showing no tolerance for dishonesty, questioning unusual </w:t>
      </w:r>
      <w:r w:rsidR="008F318B">
        <w:t xml:space="preserve">transactions or activities, </w:t>
      </w:r>
      <w:r w:rsidR="006062E5" w:rsidRPr="00E70003">
        <w:t>and supporting appropriate training</w:t>
      </w:r>
      <w:r w:rsidR="00DB5AAC">
        <w:t>.</w:t>
      </w:r>
    </w:p>
    <w:p w14:paraId="1BF3F901" w14:textId="32BCBDCA" w:rsidR="00DB5AAC" w:rsidRPr="00786B70" w:rsidRDefault="006062E5" w:rsidP="0051067B">
      <w:pPr>
        <w:pStyle w:val="ListBullet"/>
        <w:rPr>
          <w:szCs w:val="24"/>
        </w:rPr>
      </w:pPr>
      <w:r w:rsidRPr="00E70003">
        <w:t xml:space="preserve">Review and approve the annual budget </w:t>
      </w:r>
      <w:r w:rsidR="00486314" w:rsidRPr="00E70003">
        <w:t>prior to the beginning of the fiscal year</w:t>
      </w:r>
      <w:r w:rsidR="009D0CF7">
        <w:t xml:space="preserve">, and any subsequent budget modifications, and </w:t>
      </w:r>
      <w:r w:rsidR="00083AFE">
        <w:t xml:space="preserve">ensure that, in the case of IL Part C funds, </w:t>
      </w:r>
      <w:r w:rsidR="005240F4">
        <w:t xml:space="preserve">Administration for </w:t>
      </w:r>
      <w:r w:rsidR="000E20EA">
        <w:t>C</w:t>
      </w:r>
      <w:r w:rsidR="005240F4">
        <w:t xml:space="preserve">ommunity </w:t>
      </w:r>
      <w:r w:rsidR="000E20EA">
        <w:t>L</w:t>
      </w:r>
      <w:r w:rsidR="005240F4">
        <w:t>iving</w:t>
      </w:r>
      <w:r w:rsidR="003A5634">
        <w:t xml:space="preserve"> (ACL)</w:t>
      </w:r>
      <w:r w:rsidR="000E20EA">
        <w:t xml:space="preserve"> </w:t>
      </w:r>
      <w:r w:rsidR="009D0CF7">
        <w:t>pre-approval of budget modifications</w:t>
      </w:r>
      <w:r w:rsidR="00083AFE">
        <w:t xml:space="preserve"> are obtained</w:t>
      </w:r>
      <w:r w:rsidR="009D0CF7">
        <w:t xml:space="preserve">, in accordance with </w:t>
      </w:r>
      <w:r w:rsidR="005240F4">
        <w:t>requirements of the cont</w:t>
      </w:r>
      <w:r w:rsidR="00786B70">
        <w:t>r</w:t>
      </w:r>
      <w:r w:rsidR="005240F4">
        <w:t xml:space="preserve">act between the Center and </w:t>
      </w:r>
      <w:r w:rsidR="005240F4" w:rsidRPr="008E6C3C">
        <w:t>ACL.</w:t>
      </w:r>
      <w:r w:rsidR="0059318E">
        <w:rPr>
          <w:rStyle w:val="FootnoteReference"/>
        </w:rPr>
        <w:footnoteReference w:id="4"/>
      </w:r>
    </w:p>
    <w:p w14:paraId="78201065" w14:textId="2A777705" w:rsidR="001E4A90" w:rsidRPr="008E6C3C" w:rsidRDefault="001E4A90" w:rsidP="008E6C3C">
      <w:pPr>
        <w:pStyle w:val="ListBullet"/>
      </w:pPr>
      <w:r w:rsidRPr="008E6C3C">
        <w:t xml:space="preserve">Appoint board members who will have signing authority and establish the limits or circumstances that require dual signatures with the </w:t>
      </w:r>
      <w:r w:rsidR="00217328" w:rsidRPr="008E6C3C">
        <w:t>e</w:t>
      </w:r>
      <w:r w:rsidRPr="008E6C3C">
        <w:t xml:space="preserve">xecutive </w:t>
      </w:r>
      <w:r w:rsidR="00217328" w:rsidRPr="008E6C3C">
        <w:t>d</w:t>
      </w:r>
      <w:r w:rsidRPr="008E6C3C">
        <w:t>irector.</w:t>
      </w:r>
    </w:p>
    <w:p w14:paraId="79A45056" w14:textId="77777777" w:rsidR="00A67859" w:rsidRDefault="00A67859" w:rsidP="00AC7C46">
      <w:pPr>
        <w:pStyle w:val="ListBullet"/>
      </w:pPr>
      <w:r>
        <w:t>Ensure all expenditures of federal funds by PENN CIL are adequately documented and allowable, that those expenditures are allocable and reasonable according to federal cost principles, and that the organization meets all applicable federal requirements.</w:t>
      </w:r>
      <w:r w:rsidR="00D72A41">
        <w:t xml:space="preserve"> </w:t>
      </w:r>
    </w:p>
    <w:p w14:paraId="2FAADD31" w14:textId="77777777" w:rsidR="00DB5AAC" w:rsidRPr="00E2179D" w:rsidRDefault="006062E5" w:rsidP="0051067B">
      <w:pPr>
        <w:pStyle w:val="ListBullet"/>
      </w:pPr>
      <w:r w:rsidRPr="00E70003">
        <w:t xml:space="preserve">Review periodic financial </w:t>
      </w:r>
      <w:r w:rsidR="00083AFE">
        <w:t xml:space="preserve">and programmatic </w:t>
      </w:r>
      <w:r w:rsidRPr="00E70003">
        <w:t>reports</w:t>
      </w:r>
      <w:r w:rsidR="00DB5AAC">
        <w:t>.</w:t>
      </w:r>
      <w:r w:rsidR="008F318B">
        <w:t xml:space="preserve"> Conduct such reviews no less frequently than once each quarter.</w:t>
      </w:r>
    </w:p>
    <w:p w14:paraId="48F474A5" w14:textId="55314DB5" w:rsidR="00E2179D" w:rsidRPr="00E2179D" w:rsidRDefault="00E2179D" w:rsidP="0051067B">
      <w:pPr>
        <w:pStyle w:val="ListBullet"/>
      </w:pPr>
      <w:r>
        <w:t xml:space="preserve">Develop and approve the job description for </w:t>
      </w:r>
      <w:r w:rsidR="00217328">
        <w:t>the</w:t>
      </w:r>
      <w:r>
        <w:t xml:space="preserve"> </w:t>
      </w:r>
      <w:r w:rsidR="00627122">
        <w:t>e</w:t>
      </w:r>
      <w:r>
        <w:t xml:space="preserve">xecutive </w:t>
      </w:r>
      <w:r w:rsidR="00627122">
        <w:t>d</w:t>
      </w:r>
      <w:r>
        <w:t>irector</w:t>
      </w:r>
      <w:r w:rsidR="00A1468A">
        <w:t>.</w:t>
      </w:r>
    </w:p>
    <w:p w14:paraId="652BC198" w14:textId="2D9DA14A" w:rsidR="00A67859" w:rsidRDefault="00A1468A" w:rsidP="0051067B">
      <w:pPr>
        <w:pStyle w:val="ListBullet"/>
      </w:pPr>
      <w:r>
        <w:t>Select</w:t>
      </w:r>
      <w:r w:rsidR="00E2179D">
        <w:t xml:space="preserve"> a qualified </w:t>
      </w:r>
      <w:r w:rsidR="00627122">
        <w:t>e</w:t>
      </w:r>
      <w:r w:rsidR="00E2179D">
        <w:t xml:space="preserve">xecutive </w:t>
      </w:r>
      <w:r w:rsidR="00627122">
        <w:t>d</w:t>
      </w:r>
      <w:r w:rsidR="00E2179D">
        <w:t>irector</w:t>
      </w:r>
      <w:r w:rsidR="00947CAE">
        <w:t xml:space="preserve"> and communicate this selection to funders and the community.</w:t>
      </w:r>
    </w:p>
    <w:p w14:paraId="680EA90B" w14:textId="77777777" w:rsidR="00947CAE" w:rsidRDefault="00A1468A" w:rsidP="00947CAE">
      <w:pPr>
        <w:pStyle w:val="ListBullet"/>
      </w:pPr>
      <w:r>
        <w:t xml:space="preserve">Hire the </w:t>
      </w:r>
      <w:r w:rsidR="00627122">
        <w:t>e</w:t>
      </w:r>
      <w:r>
        <w:t xml:space="preserve">xecutive </w:t>
      </w:r>
      <w:r w:rsidR="00627122">
        <w:t>d</w:t>
      </w:r>
      <w:r>
        <w:t>irector and establish the salary and benefits for the position</w:t>
      </w:r>
      <w:r w:rsidR="00947CAE">
        <w:t xml:space="preserve"> </w:t>
      </w:r>
      <w:r w:rsidR="00947CAE" w:rsidRPr="00E70003">
        <w:t>based on responsibilities and on comparative information</w:t>
      </w:r>
      <w:r w:rsidR="00947CAE">
        <w:t xml:space="preserve"> either from other CILs in the state or other organizations in the community.</w:t>
      </w:r>
    </w:p>
    <w:p w14:paraId="0016B096" w14:textId="6034DB2B" w:rsidR="00DB5AAC" w:rsidRDefault="006062E5" w:rsidP="0051067B">
      <w:pPr>
        <w:pStyle w:val="ListBullet"/>
      </w:pPr>
      <w:r w:rsidRPr="00E70003">
        <w:t xml:space="preserve">Review </w:t>
      </w:r>
      <w:r w:rsidR="008F318B">
        <w:t xml:space="preserve">the </w:t>
      </w:r>
      <w:r w:rsidR="00627122">
        <w:t>e</w:t>
      </w:r>
      <w:r w:rsidR="00E100A6" w:rsidRPr="00E70003">
        <w:t xml:space="preserve">xecutive </w:t>
      </w:r>
      <w:r w:rsidR="00627122">
        <w:t>d</w:t>
      </w:r>
      <w:r w:rsidR="00E100A6" w:rsidRPr="00E70003">
        <w:t>irector</w:t>
      </w:r>
      <w:r w:rsidRPr="00E70003">
        <w:t>'s performance annually and establish salary</w:t>
      </w:r>
      <w:r w:rsidR="00947CAE">
        <w:t xml:space="preserve"> increases if appropriate.</w:t>
      </w:r>
    </w:p>
    <w:p w14:paraId="01811D13" w14:textId="77777777" w:rsidR="00DB5AAC" w:rsidRDefault="006062E5" w:rsidP="0051067B">
      <w:pPr>
        <w:pStyle w:val="ListBullet"/>
      </w:pPr>
      <w:r w:rsidRPr="00E70003">
        <w:t xml:space="preserve">Review </w:t>
      </w:r>
      <w:r w:rsidR="00FD7E59">
        <w:t xml:space="preserve">and </w:t>
      </w:r>
      <w:r w:rsidR="00EE6494">
        <w:t xml:space="preserve">approve </w:t>
      </w:r>
      <w:r w:rsidRPr="00E70003">
        <w:t>internal controls and accounting policies and procedures</w:t>
      </w:r>
      <w:r w:rsidR="00DB5AAC">
        <w:t>.</w:t>
      </w:r>
    </w:p>
    <w:p w14:paraId="51450651" w14:textId="422A1F9E" w:rsidR="00FD7E59" w:rsidRDefault="006475DE" w:rsidP="00FD7E59">
      <w:pPr>
        <w:pStyle w:val="ListBullet"/>
      </w:pPr>
      <w:r>
        <w:t xml:space="preserve">Serve as a resource to the </w:t>
      </w:r>
      <w:r w:rsidR="00217328">
        <w:t>e</w:t>
      </w:r>
      <w:r>
        <w:t xml:space="preserve">xecutive </w:t>
      </w:r>
      <w:r w:rsidR="00217328">
        <w:t>d</w:t>
      </w:r>
      <w:r>
        <w:t>irector in implementing internal controls</w:t>
      </w:r>
      <w:r w:rsidR="00FD7E59">
        <w:t>.</w:t>
      </w:r>
    </w:p>
    <w:p w14:paraId="512150A4" w14:textId="77377B08" w:rsidR="00DB5AAC" w:rsidRPr="007823A2" w:rsidRDefault="004B0FA0" w:rsidP="007823A2">
      <w:pPr>
        <w:pStyle w:val="ListBullet"/>
      </w:pPr>
      <w:r>
        <w:lastRenderedPageBreak/>
        <w:t>A</w:t>
      </w:r>
      <w:r w:rsidR="006062E5" w:rsidRPr="00E70003">
        <w:t>sse</w:t>
      </w:r>
      <w:r w:rsidR="00DB5AAC">
        <w:t>ss</w:t>
      </w:r>
      <w:r w:rsidR="006062E5" w:rsidRPr="00E70003">
        <w:t xml:space="preserve"> risk </w:t>
      </w:r>
      <w:r>
        <w:t>periodically</w:t>
      </w:r>
      <w:r w:rsidR="00DB5AAC">
        <w:t>,</w:t>
      </w:r>
      <w:r w:rsidR="006062E5" w:rsidRPr="00E70003">
        <w:t xml:space="preserve"> </w:t>
      </w:r>
      <w:r w:rsidR="00DB5AAC">
        <w:t xml:space="preserve">determine </w:t>
      </w:r>
      <w:r w:rsidR="006062E5" w:rsidRPr="00E70003">
        <w:t>the adequacy of internal controls</w:t>
      </w:r>
      <w:r w:rsidR="00780B35">
        <w:t xml:space="preserve"> and </w:t>
      </w:r>
      <w:r w:rsidR="00DB5AAC">
        <w:t xml:space="preserve">determine </w:t>
      </w:r>
      <w:r w:rsidR="00FB579F">
        <w:t>the types and amounts of insurance coverage</w:t>
      </w:r>
      <w:r w:rsidR="00DB5AAC">
        <w:t xml:space="preserve"> required for the organization.</w:t>
      </w:r>
    </w:p>
    <w:p w14:paraId="6AFCA3F5" w14:textId="77777777" w:rsidR="00DB5AAC" w:rsidRDefault="00FB579F" w:rsidP="0051067B">
      <w:pPr>
        <w:pStyle w:val="ListBullet"/>
      </w:pPr>
      <w:r>
        <w:t>Review contracts with third parties if those contracts are for $25,000 or more</w:t>
      </w:r>
      <w:r w:rsidR="00DB5AAC">
        <w:t>.</w:t>
      </w:r>
      <w:r w:rsidR="008F318B">
        <w:rPr>
          <w:rStyle w:val="FootnoteReference"/>
        </w:rPr>
        <w:footnoteReference w:id="5"/>
      </w:r>
    </w:p>
    <w:p w14:paraId="792AD421" w14:textId="3846282B" w:rsidR="009D0CF7" w:rsidRDefault="009D0CF7" w:rsidP="0051067B">
      <w:pPr>
        <w:pStyle w:val="ListBullet"/>
      </w:pPr>
      <w:r>
        <w:t>Assign a member(s) to co-sign any check in excess of a dollar amount established by the board</w:t>
      </w:r>
      <w:r w:rsidR="009360B9">
        <w:t xml:space="preserve">, or when a check is made out to the </w:t>
      </w:r>
      <w:r w:rsidR="00217328">
        <w:t>e</w:t>
      </w:r>
      <w:r w:rsidR="009360B9">
        <w:t xml:space="preserve">xecutive </w:t>
      </w:r>
      <w:r w:rsidR="00217328">
        <w:t>d</w:t>
      </w:r>
      <w:r w:rsidR="009360B9">
        <w:t>irector</w:t>
      </w:r>
      <w:r w:rsidR="00E8466A">
        <w:t>.</w:t>
      </w:r>
    </w:p>
    <w:p w14:paraId="6EE5F717" w14:textId="0E04D5BE" w:rsidR="009360B9" w:rsidRDefault="009360B9" w:rsidP="0051067B">
      <w:pPr>
        <w:pStyle w:val="ListBullet"/>
      </w:pPr>
      <w:r>
        <w:t xml:space="preserve">Assign a member(s) to review and approve all expenses reimbursable to the </w:t>
      </w:r>
      <w:r w:rsidR="00217328">
        <w:t>e</w:t>
      </w:r>
      <w:r>
        <w:t xml:space="preserve">xecutive </w:t>
      </w:r>
      <w:r w:rsidR="00217328">
        <w:t>d</w:t>
      </w:r>
      <w:r>
        <w:t xml:space="preserve">irector or charged directly by the </w:t>
      </w:r>
      <w:r w:rsidR="00217328">
        <w:t>e</w:t>
      </w:r>
      <w:r>
        <w:t xml:space="preserve">xecutive </w:t>
      </w:r>
      <w:r w:rsidR="00217328">
        <w:t>d</w:t>
      </w:r>
      <w:r>
        <w:t xml:space="preserve">irector, such as the detail on any credit card issued to the </w:t>
      </w:r>
      <w:r w:rsidR="00217328">
        <w:t>e</w:t>
      </w:r>
      <w:r>
        <w:t xml:space="preserve">xecutive </w:t>
      </w:r>
      <w:r w:rsidR="00217328">
        <w:t>d</w:t>
      </w:r>
      <w:r>
        <w:t>irector, before payment of the charges.</w:t>
      </w:r>
    </w:p>
    <w:p w14:paraId="7B18E601" w14:textId="0FB24900" w:rsidR="00DB5AAC" w:rsidRDefault="00EE6494" w:rsidP="0051067B">
      <w:pPr>
        <w:pStyle w:val="ListBullet"/>
      </w:pPr>
      <w:r>
        <w:t>D</w:t>
      </w:r>
      <w:r w:rsidR="006062E5" w:rsidRPr="00E70003">
        <w:t xml:space="preserve">etermine whether the </w:t>
      </w:r>
      <w:r w:rsidR="00545FE8">
        <w:t>CIL</w:t>
      </w:r>
      <w:r w:rsidR="00486314" w:rsidRPr="00E70003">
        <w:t xml:space="preserve"> </w:t>
      </w:r>
      <w:r w:rsidR="006062E5" w:rsidRPr="00E70003">
        <w:t xml:space="preserve">should have </w:t>
      </w:r>
      <w:r w:rsidR="00111444">
        <w:t xml:space="preserve">a </w:t>
      </w:r>
      <w:r w:rsidR="004B5BFD" w:rsidRPr="00E70003">
        <w:t>federal compliance audit under</w:t>
      </w:r>
      <w:r w:rsidR="000E20EA">
        <w:t xml:space="preserve"> Uniform Guidance</w:t>
      </w:r>
      <w:r w:rsidR="00F22B94">
        <w:rPr>
          <w:rStyle w:val="FootnoteReference"/>
        </w:rPr>
        <w:footnoteReference w:id="6"/>
      </w:r>
      <w:r w:rsidR="000E20EA">
        <w:t xml:space="preserve"> </w:t>
      </w:r>
      <w:r w:rsidR="006062E5" w:rsidRPr="00E70003">
        <w:t xml:space="preserve">and, if so, </w:t>
      </w:r>
      <w:r w:rsidR="00E65E91">
        <w:t xml:space="preserve">select </w:t>
      </w:r>
      <w:r w:rsidR="006062E5" w:rsidRPr="00E70003">
        <w:t>and contract with the auditor</w:t>
      </w:r>
      <w:r w:rsidR="006475DE">
        <w:t>.</w:t>
      </w:r>
    </w:p>
    <w:p w14:paraId="053CA37C" w14:textId="77777777" w:rsidR="00DB5AAC" w:rsidRDefault="00DB5AAC" w:rsidP="00DB5AAC">
      <w:pPr>
        <w:pStyle w:val="ListBullet"/>
      </w:pPr>
      <w:r>
        <w:t>R</w:t>
      </w:r>
      <w:r w:rsidR="00486314" w:rsidRPr="00E70003">
        <w:t xml:space="preserve">eview the </w:t>
      </w:r>
      <w:r w:rsidR="00545FE8">
        <w:t>CIL</w:t>
      </w:r>
      <w:r w:rsidR="00486314" w:rsidRPr="00E70003">
        <w:t xml:space="preserve">’s compliance </w:t>
      </w:r>
      <w:r w:rsidR="00E2179D" w:rsidRPr="00DB5AAC">
        <w:t>periodically</w:t>
      </w:r>
      <w:r w:rsidRPr="00DB5AAC">
        <w:t xml:space="preserve"> </w:t>
      </w:r>
      <w:r w:rsidR="006062E5" w:rsidRPr="00E70003">
        <w:t>and assure that whistleblower protection</w:t>
      </w:r>
      <w:r w:rsidR="00842384" w:rsidRPr="00E70003">
        <w:t xml:space="preserve"> policie</w:t>
      </w:r>
      <w:r w:rsidR="006062E5" w:rsidRPr="00E70003">
        <w:t xml:space="preserve">s are in place for anyone reporting suspected </w:t>
      </w:r>
      <w:r w:rsidR="00C92225" w:rsidRPr="00E70003">
        <w:t>illegal acts</w:t>
      </w:r>
      <w:r w:rsidR="009C40DF">
        <w:t>,</w:t>
      </w:r>
      <w:r w:rsidR="00780B35">
        <w:t xml:space="preserve"> </w:t>
      </w:r>
      <w:r w:rsidR="00842384" w:rsidRPr="00E70003">
        <w:t>waste, fraud or abuse</w:t>
      </w:r>
      <w:r w:rsidR="00780B35">
        <w:t xml:space="preserve"> of funds</w:t>
      </w:r>
      <w:r>
        <w:t>.</w:t>
      </w:r>
    </w:p>
    <w:p w14:paraId="02588DEA" w14:textId="77777777" w:rsidR="006062E5" w:rsidRPr="00D645B1" w:rsidRDefault="006062E5" w:rsidP="00B934C4">
      <w:pPr>
        <w:pStyle w:val="ListBullet"/>
      </w:pPr>
      <w:r w:rsidRPr="00D645B1">
        <w:t>Verif</w:t>
      </w:r>
      <w:r w:rsidR="00DB5AAC" w:rsidRPr="00D645B1">
        <w:t xml:space="preserve">y </w:t>
      </w:r>
      <w:r w:rsidRPr="00D645B1">
        <w:t xml:space="preserve">the </w:t>
      </w:r>
      <w:r w:rsidR="00545FE8" w:rsidRPr="00D645B1">
        <w:t>CIL</w:t>
      </w:r>
      <w:r w:rsidR="00486314" w:rsidRPr="00D645B1">
        <w:t xml:space="preserve"> </w:t>
      </w:r>
      <w:r w:rsidRPr="00D645B1">
        <w:t>is not involved in any impermissible political activities</w:t>
      </w:r>
      <w:r w:rsidR="00B934C4" w:rsidRPr="00D645B1">
        <w:t xml:space="preserve"> or lobbying activities</w:t>
      </w:r>
      <w:r w:rsidR="00D645B1">
        <w:t>.</w:t>
      </w:r>
      <w:r w:rsidR="00D645B1">
        <w:rPr>
          <w:rStyle w:val="FootnoteReference"/>
        </w:rPr>
        <w:footnoteReference w:id="7"/>
      </w:r>
      <w:r w:rsidR="00B934C4" w:rsidRPr="00D645B1">
        <w:t xml:space="preserve"> </w:t>
      </w:r>
    </w:p>
    <w:p w14:paraId="1A48F086" w14:textId="77777777" w:rsidR="002E3233" w:rsidRPr="0096699C" w:rsidRDefault="00E100A6" w:rsidP="00266D8D">
      <w:pPr>
        <w:pStyle w:val="Heading3"/>
      </w:pPr>
      <w:bookmarkStart w:id="71" w:name="_Toc346626459"/>
      <w:bookmarkStart w:id="72" w:name="_Toc347934419"/>
      <w:bookmarkStart w:id="73" w:name="_Toc352681817"/>
      <w:bookmarkStart w:id="74" w:name="_Toc352773479"/>
      <w:bookmarkStart w:id="75" w:name="_Toc352773579"/>
      <w:bookmarkStart w:id="76" w:name="_Toc448404208"/>
      <w:r w:rsidRPr="0096699C">
        <w:t>Executive Director</w:t>
      </w:r>
      <w:bookmarkEnd w:id="71"/>
      <w:bookmarkEnd w:id="72"/>
      <w:bookmarkEnd w:id="73"/>
      <w:bookmarkEnd w:id="74"/>
      <w:bookmarkEnd w:id="75"/>
      <w:bookmarkEnd w:id="76"/>
    </w:p>
    <w:p w14:paraId="7B400617" w14:textId="29D41D25" w:rsidR="00FD7E59" w:rsidRDefault="00FD7E59" w:rsidP="00FD7E59">
      <w:pPr>
        <w:pStyle w:val="ListBullet"/>
      </w:pPr>
      <w:r>
        <w:t xml:space="preserve">Provide continuous </w:t>
      </w:r>
      <w:r w:rsidRPr="00FD7E59">
        <w:t xml:space="preserve">leadership </w:t>
      </w:r>
      <w:r>
        <w:t xml:space="preserve">in the implementation of the mission, </w:t>
      </w:r>
      <w:r w:rsidRPr="00FD7E59">
        <w:t>strategic direction</w:t>
      </w:r>
      <w:r>
        <w:t xml:space="preserve">, </w:t>
      </w:r>
      <w:r w:rsidRPr="00FD7E59">
        <w:t>budget</w:t>
      </w:r>
      <w:r w:rsidR="00B671D6">
        <w:t>,</w:t>
      </w:r>
      <w:r w:rsidRPr="00FD7E59">
        <w:t xml:space="preserve"> and </w:t>
      </w:r>
      <w:r>
        <w:t>objectives set by the board of directors.</w:t>
      </w:r>
    </w:p>
    <w:p w14:paraId="6236A726" w14:textId="496EECEE" w:rsidR="00EB3F16" w:rsidRPr="00E70003" w:rsidDel="001A59C7" w:rsidRDefault="00EB3F16" w:rsidP="000C277D">
      <w:pPr>
        <w:pStyle w:val="ListBullet"/>
      </w:pPr>
      <w:r>
        <w:t xml:space="preserve">Ensure </w:t>
      </w:r>
      <w:r w:rsidRPr="00E70003">
        <w:t xml:space="preserve">that a </w:t>
      </w:r>
      <w:r>
        <w:t xml:space="preserve">comprehensive, accurate </w:t>
      </w:r>
      <w:r w:rsidRPr="00E70003">
        <w:t xml:space="preserve">budget </w:t>
      </w:r>
      <w:r w:rsidR="009D0CF7">
        <w:t>and subsequent modifications are</w:t>
      </w:r>
      <w:r w:rsidRPr="00E70003">
        <w:t xml:space="preserve"> developed annually</w:t>
      </w:r>
      <w:r w:rsidR="00D97F51">
        <w:t xml:space="preserve"> and presented to the board of directors for review and approval</w:t>
      </w:r>
      <w:r>
        <w:t>.</w:t>
      </w:r>
    </w:p>
    <w:p w14:paraId="65B75450" w14:textId="3F845428" w:rsidR="00EB3F16" w:rsidRPr="0096699C" w:rsidRDefault="009A07C7" w:rsidP="001A59C7">
      <w:pPr>
        <w:pStyle w:val="ListBullet"/>
      </w:pPr>
      <w:r>
        <w:t xml:space="preserve">Review </w:t>
      </w:r>
      <w:r w:rsidR="001A59C7">
        <w:t xml:space="preserve">key </w:t>
      </w:r>
      <w:r w:rsidR="00EB3F16">
        <w:t xml:space="preserve">monthly </w:t>
      </w:r>
      <w:r w:rsidR="001A59C7">
        <w:t xml:space="preserve">financial reports (such as </w:t>
      </w:r>
      <w:r w:rsidR="001A59C7" w:rsidRPr="001A59C7">
        <w:t xml:space="preserve">balance sheet, income and expense report, </w:t>
      </w:r>
      <w:r w:rsidR="001A59C7">
        <w:t xml:space="preserve">and </w:t>
      </w:r>
      <w:r w:rsidR="001A59C7" w:rsidRPr="001A59C7">
        <w:t>budget comparison</w:t>
      </w:r>
      <w:r w:rsidR="001A59C7">
        <w:t>)</w:t>
      </w:r>
      <w:r w:rsidR="00EB3F16">
        <w:t>.</w:t>
      </w:r>
    </w:p>
    <w:p w14:paraId="452A7666" w14:textId="7D382A70" w:rsidR="001A59C7" w:rsidRDefault="00EB3F16" w:rsidP="001A59C7">
      <w:pPr>
        <w:pStyle w:val="ListBullet"/>
      </w:pPr>
      <w:r>
        <w:t xml:space="preserve">Present key financial </w:t>
      </w:r>
      <w:r w:rsidR="00083AFE">
        <w:t xml:space="preserve">and programmatic </w:t>
      </w:r>
      <w:r>
        <w:t>reports to the board of directors</w:t>
      </w:r>
      <w:r w:rsidR="00D97F51">
        <w:t>.</w:t>
      </w:r>
      <w:r>
        <w:t xml:space="preserve"> </w:t>
      </w:r>
      <w:r w:rsidR="00FD7E59">
        <w:t>Present reports no less often than quarterly.</w:t>
      </w:r>
      <w:r w:rsidR="00FD7E59">
        <w:rPr>
          <w:rStyle w:val="FootnoteReference"/>
        </w:rPr>
        <w:footnoteReference w:id="8"/>
      </w:r>
      <w:r w:rsidR="00FD7E59">
        <w:t xml:space="preserve"> </w:t>
      </w:r>
      <w:r w:rsidR="00D97F51">
        <w:t>P</w:t>
      </w:r>
      <w:r w:rsidR="009C40DF">
        <w:t xml:space="preserve">rovide </w:t>
      </w:r>
      <w:r w:rsidR="004613FA">
        <w:t xml:space="preserve">complete and accurate </w:t>
      </w:r>
      <w:r w:rsidR="00933B8F" w:rsidRPr="00E70003">
        <w:t>explanation</w:t>
      </w:r>
      <w:r w:rsidR="004613FA">
        <w:t>s</w:t>
      </w:r>
      <w:r w:rsidR="00933B8F" w:rsidRPr="00E70003">
        <w:t xml:space="preserve"> </w:t>
      </w:r>
      <w:r w:rsidR="004613FA">
        <w:t xml:space="preserve">of </w:t>
      </w:r>
      <w:r>
        <w:t>the reports</w:t>
      </w:r>
      <w:r w:rsidR="00D97F51">
        <w:t>.</w:t>
      </w:r>
      <w:r>
        <w:t xml:space="preserve"> </w:t>
      </w:r>
      <w:r w:rsidR="00D97F51">
        <w:t xml:space="preserve">Describe </w:t>
      </w:r>
      <w:r w:rsidR="004613FA">
        <w:t xml:space="preserve">any </w:t>
      </w:r>
      <w:r w:rsidR="00D97F51">
        <w:t xml:space="preserve">changes, discrepancies or </w:t>
      </w:r>
      <w:r w:rsidR="00933B8F" w:rsidRPr="00E70003">
        <w:t>variances</w:t>
      </w:r>
      <w:r>
        <w:t xml:space="preserve"> in </w:t>
      </w:r>
      <w:r w:rsidR="00D97F51">
        <w:t xml:space="preserve">any of the reports, including </w:t>
      </w:r>
      <w:r>
        <w:t>the budget comparison report</w:t>
      </w:r>
      <w:r w:rsidR="00D97F51">
        <w:t>. Highlight any aspects of the reports or the organization’s financial position of which the board should be aware in fulfilling its leadership role</w:t>
      </w:r>
      <w:r w:rsidR="001A59C7">
        <w:t>.</w:t>
      </w:r>
    </w:p>
    <w:p w14:paraId="090D1222" w14:textId="7FF0D161" w:rsidR="001A59C7" w:rsidRDefault="002F2876" w:rsidP="004613FA">
      <w:pPr>
        <w:pStyle w:val="ListBullet"/>
      </w:pPr>
      <w:r>
        <w:t>Review and a</w:t>
      </w:r>
      <w:r w:rsidR="004613FA" w:rsidRPr="004613FA">
        <w:t>pprove all program expenditures to verify that they are reasonable, allowable, and properly allocated</w:t>
      </w:r>
      <w:r w:rsidR="001A59C7">
        <w:t>.</w:t>
      </w:r>
    </w:p>
    <w:p w14:paraId="557D451E" w14:textId="3911D093" w:rsidR="001A59C7" w:rsidRDefault="004613FA" w:rsidP="000C277D">
      <w:pPr>
        <w:pStyle w:val="ListBullet"/>
      </w:pPr>
      <w:r w:rsidRPr="00E70003" w:rsidDel="009A07C7">
        <w:lastRenderedPageBreak/>
        <w:t xml:space="preserve">Review </w:t>
      </w:r>
      <w:r w:rsidR="002F2876">
        <w:t xml:space="preserve">and approve </w:t>
      </w:r>
      <w:r w:rsidRPr="00E70003">
        <w:t>invoices and reimbursement requests and other supporting documentation</w:t>
      </w:r>
      <w:r w:rsidR="001A59C7">
        <w:t>.</w:t>
      </w:r>
    </w:p>
    <w:p w14:paraId="41D17487" w14:textId="0A9252D3" w:rsidR="001A59C7" w:rsidRDefault="009A07C7" w:rsidP="000C277D">
      <w:pPr>
        <w:pStyle w:val="ListBullet"/>
      </w:pPr>
      <w:r>
        <w:t xml:space="preserve">Review </w:t>
      </w:r>
      <w:r w:rsidR="00874C7F" w:rsidRPr="00E70003">
        <w:t xml:space="preserve">and sign </w:t>
      </w:r>
      <w:r w:rsidR="00710BB7">
        <w:t xml:space="preserve">or co-sign </w:t>
      </w:r>
      <w:r w:rsidR="006062E5" w:rsidRPr="00E70003">
        <w:t>checks</w:t>
      </w:r>
      <w:r w:rsidR="001A59C7">
        <w:t>.</w:t>
      </w:r>
    </w:p>
    <w:p w14:paraId="1B7036B6" w14:textId="2A800E91" w:rsidR="001A59C7" w:rsidRDefault="009A07C7" w:rsidP="000C277D">
      <w:pPr>
        <w:pStyle w:val="ListBullet"/>
      </w:pPr>
      <w:r>
        <w:t xml:space="preserve">Review </w:t>
      </w:r>
      <w:r w:rsidR="00874C7F" w:rsidRPr="00E70003">
        <w:t>payroll journals</w:t>
      </w:r>
      <w:r w:rsidR="00486314" w:rsidRPr="00E70003">
        <w:t xml:space="preserve"> (reports</w:t>
      </w:r>
      <w:r w:rsidR="008D76A9">
        <w:t xml:space="preserve"> of time worked and pay rates</w:t>
      </w:r>
      <w:r w:rsidR="00486314" w:rsidRPr="00E70003">
        <w:t xml:space="preserve"> by individual)</w:t>
      </w:r>
      <w:r w:rsidR="00874C7F" w:rsidRPr="00E70003">
        <w:t xml:space="preserve"> to </w:t>
      </w:r>
      <w:r w:rsidR="004613FA">
        <w:t xml:space="preserve">ensure </w:t>
      </w:r>
      <w:r w:rsidR="00874C7F" w:rsidRPr="00E70003">
        <w:t xml:space="preserve">hours worked and rates are </w:t>
      </w:r>
      <w:r w:rsidR="004613FA">
        <w:t>complete and accurate</w:t>
      </w:r>
      <w:r w:rsidR="001A59C7">
        <w:t>.</w:t>
      </w:r>
    </w:p>
    <w:p w14:paraId="3AEFAB86" w14:textId="0DBBA712" w:rsidR="001A59C7" w:rsidRDefault="009A07C7" w:rsidP="000C277D">
      <w:pPr>
        <w:pStyle w:val="ListBullet"/>
      </w:pPr>
      <w:r>
        <w:t xml:space="preserve">Review </w:t>
      </w:r>
      <w:r w:rsidR="006062E5" w:rsidRPr="00E70003">
        <w:t>bank statements including checks, electronic payments</w:t>
      </w:r>
      <w:r w:rsidR="003E00E3" w:rsidRPr="00E70003">
        <w:t>,</w:t>
      </w:r>
      <w:r w:rsidR="006062E5" w:rsidRPr="00E70003">
        <w:t xml:space="preserve"> transfers and other transactions </w:t>
      </w:r>
      <w:r w:rsidR="004613FA">
        <w:t xml:space="preserve">to identify </w:t>
      </w:r>
      <w:r w:rsidR="006062E5" w:rsidRPr="00E70003">
        <w:t>any irregularities</w:t>
      </w:r>
      <w:r w:rsidR="001A59C7">
        <w:t>.</w:t>
      </w:r>
    </w:p>
    <w:p w14:paraId="1794117E" w14:textId="73052192" w:rsidR="001A59C7" w:rsidRDefault="004613FA" w:rsidP="000C277D">
      <w:pPr>
        <w:pStyle w:val="ListBullet"/>
      </w:pPr>
      <w:r>
        <w:t>R</w:t>
      </w:r>
      <w:r w:rsidR="009A07C7">
        <w:t xml:space="preserve">eview </w:t>
      </w:r>
      <w:r w:rsidR="006062E5" w:rsidRPr="00E70003">
        <w:t xml:space="preserve">completed monthly bank reconciliations with </w:t>
      </w:r>
      <w:r w:rsidR="00486314" w:rsidRPr="00E70003">
        <w:t>accountant</w:t>
      </w:r>
      <w:r w:rsidR="001A59C7">
        <w:t>.</w:t>
      </w:r>
    </w:p>
    <w:p w14:paraId="266FD223" w14:textId="26E5DB8C" w:rsidR="001A59C7" w:rsidRDefault="002F2876" w:rsidP="000C277D">
      <w:pPr>
        <w:pStyle w:val="ListBullet"/>
      </w:pPr>
      <w:r>
        <w:t xml:space="preserve">Review written support documentation for </w:t>
      </w:r>
      <w:r w:rsidRPr="00E70003">
        <w:t>drawdowns</w:t>
      </w:r>
      <w:r>
        <w:t xml:space="preserve"> and approve drawdowns prior to initiation</w:t>
      </w:r>
      <w:r w:rsidR="001A59C7">
        <w:t>.</w:t>
      </w:r>
    </w:p>
    <w:p w14:paraId="2ADD4782" w14:textId="5B2446ED" w:rsidR="001A59C7" w:rsidRDefault="002F2876" w:rsidP="000C277D">
      <w:pPr>
        <w:pStyle w:val="ListBullet"/>
      </w:pPr>
      <w:r>
        <w:t>Ensure adher</w:t>
      </w:r>
      <w:r w:rsidR="00007863">
        <w:t>e</w:t>
      </w:r>
      <w:r>
        <w:t xml:space="preserve">nce to </w:t>
      </w:r>
      <w:r w:rsidR="006062E5" w:rsidRPr="00E70003">
        <w:t>all internal controls</w:t>
      </w:r>
      <w:r>
        <w:t xml:space="preserve"> is thorough and complete</w:t>
      </w:r>
      <w:r w:rsidR="001A59C7">
        <w:t>.</w:t>
      </w:r>
    </w:p>
    <w:p w14:paraId="060D01F3" w14:textId="08DD5F0B" w:rsidR="001A59C7" w:rsidRDefault="006062E5" w:rsidP="000C277D">
      <w:pPr>
        <w:pStyle w:val="ListBullet"/>
      </w:pPr>
      <w:r w:rsidRPr="00E70003">
        <w:t xml:space="preserve">Initiate donor </w:t>
      </w:r>
      <w:r w:rsidR="00E8466A" w:rsidRPr="00E70003">
        <w:t>thank</w:t>
      </w:r>
      <w:r w:rsidR="00E8466A">
        <w:t>-</w:t>
      </w:r>
      <w:r w:rsidRPr="00E70003">
        <w:t>you letter acknowledgements</w:t>
      </w:r>
      <w:r w:rsidR="0059318E">
        <w:t xml:space="preserve"> and maintain donor records.</w:t>
      </w:r>
    </w:p>
    <w:p w14:paraId="3C1071D6" w14:textId="29D7B83C" w:rsidR="00C92225" w:rsidRPr="00E70003" w:rsidRDefault="009A07C7" w:rsidP="000C277D">
      <w:pPr>
        <w:pStyle w:val="ListBullet"/>
      </w:pPr>
      <w:r>
        <w:t xml:space="preserve">Review </w:t>
      </w:r>
      <w:r w:rsidR="00A1468A">
        <w:t xml:space="preserve">insurance </w:t>
      </w:r>
      <w:r w:rsidR="00D97F51">
        <w:t xml:space="preserve">with the board of directors </w:t>
      </w:r>
      <w:r w:rsidR="006062E5" w:rsidRPr="00E70003">
        <w:t xml:space="preserve">on an annual basis to be sure that the </w:t>
      </w:r>
      <w:r w:rsidR="00545FE8">
        <w:t>CIL</w:t>
      </w:r>
      <w:r w:rsidR="006062E5" w:rsidRPr="00E70003">
        <w:t xml:space="preserve"> has proper liability, fire </w:t>
      </w:r>
      <w:r w:rsidR="00E8466A">
        <w:t>and</w:t>
      </w:r>
      <w:r w:rsidR="00E8466A" w:rsidRPr="00E70003">
        <w:t xml:space="preserve"> </w:t>
      </w:r>
      <w:r w:rsidR="006062E5" w:rsidRPr="00E70003">
        <w:t>theft, workers</w:t>
      </w:r>
      <w:r w:rsidR="003E00E3" w:rsidRPr="00E70003">
        <w:t>’</w:t>
      </w:r>
      <w:r w:rsidR="006062E5" w:rsidRPr="00E70003">
        <w:t xml:space="preserve"> compensation, disability, and other appropriate coverage</w:t>
      </w:r>
      <w:r w:rsidR="001A59C7">
        <w:t>.</w:t>
      </w:r>
      <w:r w:rsidR="00B123CC">
        <w:t xml:space="preserve"> Report to the board on the organization’s insurance status and recommend changes as needed.</w:t>
      </w:r>
    </w:p>
    <w:p w14:paraId="5DEBFF2C" w14:textId="1103DE70" w:rsidR="006062E5" w:rsidRPr="000C277D" w:rsidRDefault="00E170FB" w:rsidP="00266D8D">
      <w:pPr>
        <w:pStyle w:val="Heading3"/>
        <w:rPr>
          <w:rStyle w:val="EmphasisBold"/>
          <w:bCs w:val="0"/>
          <w:iCs/>
        </w:rPr>
      </w:pPr>
      <w:bookmarkStart w:id="77" w:name="_Toc346626460"/>
      <w:bookmarkStart w:id="78" w:name="_Toc347934420"/>
      <w:bookmarkStart w:id="79" w:name="_Toc352681818"/>
      <w:bookmarkStart w:id="80" w:name="_Toc352773480"/>
      <w:bookmarkStart w:id="81" w:name="_Toc352773580"/>
      <w:bookmarkStart w:id="82" w:name="_Toc448404209"/>
      <w:r w:rsidRPr="0096699C">
        <w:t>A</w:t>
      </w:r>
      <w:r w:rsidR="00874C7F" w:rsidRPr="0096699C">
        <w:t>ccountant</w:t>
      </w:r>
      <w:r w:rsidR="00C92225" w:rsidRPr="0096699C">
        <w:t xml:space="preserve"> (</w:t>
      </w:r>
      <w:r w:rsidR="00466B55">
        <w:t>B</w:t>
      </w:r>
      <w:r w:rsidR="00C92225" w:rsidRPr="0096699C">
        <w:t>ookkeeper)</w:t>
      </w:r>
      <w:bookmarkEnd w:id="77"/>
      <w:bookmarkEnd w:id="78"/>
      <w:bookmarkEnd w:id="79"/>
      <w:bookmarkEnd w:id="80"/>
      <w:bookmarkEnd w:id="81"/>
      <w:bookmarkEnd w:id="82"/>
    </w:p>
    <w:p w14:paraId="41A9326C" w14:textId="1B7739A4" w:rsidR="00D52FEB" w:rsidRDefault="00874C7F" w:rsidP="000C277D">
      <w:pPr>
        <w:pStyle w:val="ListBullet"/>
      </w:pPr>
      <w:r w:rsidRPr="00E70003">
        <w:t>Pr</w:t>
      </w:r>
      <w:r w:rsidR="00EB3F16">
        <w:t xml:space="preserve">epare </w:t>
      </w:r>
      <w:r w:rsidRPr="00E70003">
        <w:t>monthly</w:t>
      </w:r>
      <w:r w:rsidR="003F48A3" w:rsidRPr="00E70003">
        <w:t xml:space="preserve"> </w:t>
      </w:r>
      <w:r w:rsidR="00C92225" w:rsidRPr="00E70003">
        <w:t xml:space="preserve">financial reports including a balance sheet, </w:t>
      </w:r>
      <w:r w:rsidR="003F48A3" w:rsidRPr="00E70003">
        <w:t xml:space="preserve">income and expense </w:t>
      </w:r>
      <w:r w:rsidRPr="00E70003">
        <w:t>report, budget comparison, and other key financial</w:t>
      </w:r>
      <w:r w:rsidR="00CB68C5" w:rsidRPr="00E70003">
        <w:t xml:space="preserve"> reports </w:t>
      </w:r>
      <w:r w:rsidRPr="00E70003">
        <w:t xml:space="preserve">for review by the </w:t>
      </w:r>
      <w:r w:rsidR="00007863">
        <w:t>e</w:t>
      </w:r>
      <w:r w:rsidR="00E100A6" w:rsidRPr="00E70003">
        <w:t xml:space="preserve">xecutive </w:t>
      </w:r>
      <w:r w:rsidR="00007863">
        <w:t>d</w:t>
      </w:r>
      <w:r w:rsidR="00E100A6" w:rsidRPr="00E70003">
        <w:t>irector</w:t>
      </w:r>
      <w:r w:rsidRPr="00E70003">
        <w:t xml:space="preserve"> and </w:t>
      </w:r>
      <w:r w:rsidR="00007863">
        <w:t>b</w:t>
      </w:r>
      <w:r w:rsidRPr="00E70003">
        <w:t xml:space="preserve">oard of </w:t>
      </w:r>
      <w:r w:rsidR="00007863">
        <w:t>d</w:t>
      </w:r>
      <w:r w:rsidRPr="00E70003">
        <w:t>irectors</w:t>
      </w:r>
      <w:r w:rsidR="00D52FEB">
        <w:t>.</w:t>
      </w:r>
    </w:p>
    <w:p w14:paraId="1300213E" w14:textId="47EB196D" w:rsidR="00D52FEB" w:rsidRDefault="00053860" w:rsidP="000C277D">
      <w:pPr>
        <w:pStyle w:val="ListBullet"/>
      </w:pPr>
      <w:r>
        <w:t>R</w:t>
      </w:r>
      <w:r w:rsidR="00874C7F" w:rsidRPr="00E70003">
        <w:t>econcile the bank account</w:t>
      </w:r>
      <w:r w:rsidR="00D52FEB">
        <w:t>.</w:t>
      </w:r>
    </w:p>
    <w:p w14:paraId="0708105C" w14:textId="213B4410" w:rsidR="00D52FEB" w:rsidRDefault="003E00E3" w:rsidP="000C277D">
      <w:pPr>
        <w:pStyle w:val="ListBullet"/>
      </w:pPr>
      <w:r w:rsidRPr="00E70003">
        <w:t>E</w:t>
      </w:r>
      <w:r w:rsidR="00CB68C5" w:rsidRPr="00E70003">
        <w:t>nter</w:t>
      </w:r>
      <w:r w:rsidR="006475DE">
        <w:t xml:space="preserve"> various </w:t>
      </w:r>
      <w:r w:rsidR="00CB68C5" w:rsidRPr="00E70003">
        <w:t>transactions into the accounting system</w:t>
      </w:r>
      <w:r w:rsidR="006475DE">
        <w:t>, such as deposits, payroll, in-kind donations, and debit or credit card transactions</w:t>
      </w:r>
      <w:r w:rsidR="00D52FEB">
        <w:t>.</w:t>
      </w:r>
    </w:p>
    <w:p w14:paraId="5B683BD0" w14:textId="79AEEF01" w:rsidR="00D52FEB" w:rsidRDefault="00874C7F" w:rsidP="000C277D">
      <w:pPr>
        <w:pStyle w:val="ListBullet"/>
      </w:pPr>
      <w:r w:rsidRPr="00E70003">
        <w:t>Calculate drawdowns based on allowable</w:t>
      </w:r>
      <w:r w:rsidR="009D0CF7">
        <w:t>, allocable</w:t>
      </w:r>
      <w:r w:rsidR="00545FE8">
        <w:t>,</w:t>
      </w:r>
      <w:r w:rsidR="009D0CF7">
        <w:t xml:space="preserve"> and reasonable</w:t>
      </w:r>
      <w:r w:rsidRPr="00E70003">
        <w:t xml:space="preserve"> expenses</w:t>
      </w:r>
      <w:r w:rsidR="00D52FEB">
        <w:t>.</w:t>
      </w:r>
    </w:p>
    <w:p w14:paraId="48CB82B6" w14:textId="4713E75C" w:rsidR="00D52FEB" w:rsidRDefault="00874C7F" w:rsidP="000C277D">
      <w:pPr>
        <w:pStyle w:val="ListBullet"/>
      </w:pPr>
      <w:r w:rsidRPr="00E70003">
        <w:t>Back</w:t>
      </w:r>
      <w:r w:rsidR="003E00E3" w:rsidRPr="00E70003">
        <w:t xml:space="preserve"> </w:t>
      </w:r>
      <w:r w:rsidRPr="00E70003">
        <w:t>up</w:t>
      </w:r>
      <w:r w:rsidR="00CB68C5" w:rsidRPr="00E70003">
        <w:t xml:space="preserve"> accounting software</w:t>
      </w:r>
      <w:r w:rsidR="00D52FEB">
        <w:t>.</w:t>
      </w:r>
    </w:p>
    <w:p w14:paraId="42626C64" w14:textId="619F80C6" w:rsidR="00D52FEB" w:rsidRDefault="003E00E3" w:rsidP="000C277D">
      <w:pPr>
        <w:pStyle w:val="ListBullet"/>
      </w:pPr>
      <w:r w:rsidRPr="00E70003">
        <w:t>Prepare1099</w:t>
      </w:r>
      <w:r w:rsidR="00C0340F">
        <w:t>s</w:t>
      </w:r>
      <w:r w:rsidR="00874C7F" w:rsidRPr="00E70003">
        <w:t xml:space="preserve"> </w:t>
      </w:r>
      <w:r w:rsidR="00C92225" w:rsidRPr="00E70003">
        <w:t>annual</w:t>
      </w:r>
      <w:r w:rsidR="00EB3F16">
        <w:t>ly</w:t>
      </w:r>
      <w:r w:rsidR="00D52FEB">
        <w:t>.</w:t>
      </w:r>
    </w:p>
    <w:p w14:paraId="54E4FDDC" w14:textId="3F1C094A" w:rsidR="00D52FEB" w:rsidRDefault="00D52FEB" w:rsidP="000C277D">
      <w:pPr>
        <w:pStyle w:val="ListBullet"/>
      </w:pPr>
      <w:r>
        <w:t xml:space="preserve">Perform an initial review of </w:t>
      </w:r>
      <w:r w:rsidR="00874C7F" w:rsidRPr="00E70003">
        <w:t>timesheets</w:t>
      </w:r>
      <w:r>
        <w:t xml:space="preserve"> </w:t>
      </w:r>
      <w:r w:rsidR="00053860">
        <w:t>for</w:t>
      </w:r>
      <w:r>
        <w:t xml:space="preserve"> </w:t>
      </w:r>
      <w:r w:rsidR="00007863">
        <w:t>e</w:t>
      </w:r>
      <w:r>
        <w:t xml:space="preserve">xecutive </w:t>
      </w:r>
      <w:r w:rsidR="00007863">
        <w:t>d</w:t>
      </w:r>
      <w:r>
        <w:t>irector approval.</w:t>
      </w:r>
    </w:p>
    <w:p w14:paraId="6FEBD056" w14:textId="0E9CF9FB" w:rsidR="00D52FEB" w:rsidRDefault="00874C7F" w:rsidP="000C277D">
      <w:pPr>
        <w:pStyle w:val="ListBullet"/>
      </w:pPr>
      <w:r w:rsidRPr="00E70003">
        <w:t xml:space="preserve">Prepare and print paychecks </w:t>
      </w:r>
      <w:r w:rsidR="00CB68C5" w:rsidRPr="00E70003">
        <w:t xml:space="preserve">and provide them to the </w:t>
      </w:r>
      <w:r w:rsidR="00007863">
        <w:t>e</w:t>
      </w:r>
      <w:r w:rsidR="00CB68C5" w:rsidRPr="00E70003">
        <w:t xml:space="preserve">xecutive </w:t>
      </w:r>
      <w:r w:rsidR="00007863">
        <w:t>d</w:t>
      </w:r>
      <w:r w:rsidR="00CB68C5" w:rsidRPr="00E70003">
        <w:t>irector with supporting documentation</w:t>
      </w:r>
      <w:r w:rsidR="00D52FEB">
        <w:t>.</w:t>
      </w:r>
    </w:p>
    <w:p w14:paraId="44A47744" w14:textId="1A3920DC" w:rsidR="00D52FEB" w:rsidRDefault="00874C7F" w:rsidP="000C277D">
      <w:pPr>
        <w:pStyle w:val="ListBullet"/>
      </w:pPr>
      <w:r w:rsidRPr="00E70003">
        <w:t xml:space="preserve">Review </w:t>
      </w:r>
      <w:r w:rsidR="00CB68C5" w:rsidRPr="00E70003">
        <w:t>or</w:t>
      </w:r>
      <w:r w:rsidRPr="00E70003">
        <w:t xml:space="preserve"> prepare all </w:t>
      </w:r>
      <w:r w:rsidR="00CB68C5" w:rsidRPr="00E70003">
        <w:t xml:space="preserve">federal and state quarterly and annual </w:t>
      </w:r>
      <w:r w:rsidR="00FB579F">
        <w:t xml:space="preserve">payroll tax </w:t>
      </w:r>
      <w:r w:rsidR="00CB68C5" w:rsidRPr="00E70003">
        <w:t>reports</w:t>
      </w:r>
      <w:r w:rsidR="00C92225" w:rsidRPr="00E70003">
        <w:t>, and prepare checks for tax deposits</w:t>
      </w:r>
      <w:r w:rsidR="00D52FEB">
        <w:t>.</w:t>
      </w:r>
    </w:p>
    <w:p w14:paraId="748047A3" w14:textId="1CAE59A3" w:rsidR="00D52FEB" w:rsidRDefault="00E170FB" w:rsidP="000C277D">
      <w:pPr>
        <w:pStyle w:val="ListBullet"/>
      </w:pPr>
      <w:r w:rsidRPr="00E70003">
        <w:t>P</w:t>
      </w:r>
      <w:r w:rsidR="00874C7F" w:rsidRPr="00E70003">
        <w:t>repare documentation required for workers</w:t>
      </w:r>
      <w:r w:rsidR="003E00E3" w:rsidRPr="00E70003">
        <w:t>’</w:t>
      </w:r>
      <w:r w:rsidR="00874C7F" w:rsidRPr="00E70003">
        <w:t xml:space="preserve"> compensation insurance audits</w:t>
      </w:r>
      <w:r w:rsidR="00D52FEB">
        <w:t>.</w:t>
      </w:r>
    </w:p>
    <w:p w14:paraId="7849338B" w14:textId="7031EB1E" w:rsidR="003F48A3" w:rsidRPr="00E70003" w:rsidRDefault="00B83A8B" w:rsidP="000C277D">
      <w:pPr>
        <w:pStyle w:val="ListBullet"/>
      </w:pPr>
      <w:r w:rsidRPr="00E70003">
        <w:t>Classif</w:t>
      </w:r>
      <w:r w:rsidR="00466B55">
        <w:t>y</w:t>
      </w:r>
      <w:r>
        <w:t xml:space="preserve"> </w:t>
      </w:r>
      <w:r w:rsidR="004C0F4F" w:rsidRPr="00E70003">
        <w:t xml:space="preserve">receipts, </w:t>
      </w:r>
      <w:r w:rsidR="00CB68C5" w:rsidRPr="00E70003">
        <w:t>expenditures</w:t>
      </w:r>
      <w:r w:rsidR="004C0F4F" w:rsidRPr="00E70003">
        <w:t>, and payroll properly by account</w:t>
      </w:r>
      <w:r w:rsidR="009C1BBA">
        <w:t xml:space="preserve"> and object of expenditure</w:t>
      </w:r>
      <w:r w:rsidR="00D52FEB">
        <w:t>.</w:t>
      </w:r>
    </w:p>
    <w:p w14:paraId="2B4B5B1A" w14:textId="77777777" w:rsidR="003F48A3" w:rsidRPr="0096699C" w:rsidRDefault="003F48A3" w:rsidP="00266D8D">
      <w:pPr>
        <w:pStyle w:val="Heading3"/>
      </w:pPr>
      <w:bookmarkStart w:id="83" w:name="_Toc346626461"/>
      <w:bookmarkStart w:id="84" w:name="_Toc347934421"/>
      <w:bookmarkStart w:id="85" w:name="_Toc352681819"/>
      <w:bookmarkStart w:id="86" w:name="_Toc352773481"/>
      <w:bookmarkStart w:id="87" w:name="_Toc352773581"/>
      <w:bookmarkStart w:id="88" w:name="_Toc448404210"/>
      <w:r w:rsidRPr="0096699C">
        <w:lastRenderedPageBreak/>
        <w:t>Outside CPA</w:t>
      </w:r>
      <w:bookmarkEnd w:id="83"/>
      <w:bookmarkEnd w:id="84"/>
      <w:bookmarkEnd w:id="85"/>
      <w:bookmarkEnd w:id="86"/>
      <w:bookmarkEnd w:id="87"/>
      <w:bookmarkEnd w:id="88"/>
    </w:p>
    <w:p w14:paraId="04F2B4D0" w14:textId="36919B54" w:rsidR="003F48A3" w:rsidRPr="00E70003" w:rsidRDefault="00750A48" w:rsidP="000C277D">
      <w:pPr>
        <w:pStyle w:val="ListBullet"/>
      </w:pPr>
      <w:r>
        <w:t>P</w:t>
      </w:r>
      <w:r w:rsidR="003F48A3" w:rsidRPr="00E70003">
        <w:t>repare annual nonprofit organization filings.</w:t>
      </w:r>
      <w:r>
        <w:rPr>
          <w:rStyle w:val="FootnoteReference"/>
        </w:rPr>
        <w:footnoteReference w:id="9"/>
      </w:r>
    </w:p>
    <w:p w14:paraId="6E0F4429" w14:textId="0B00BB2A" w:rsidR="003F48A3" w:rsidRPr="00E70003" w:rsidRDefault="00750A48" w:rsidP="000C277D">
      <w:pPr>
        <w:pStyle w:val="ListBullet"/>
      </w:pPr>
      <w:r>
        <w:t>P</w:t>
      </w:r>
      <w:r w:rsidR="003F48A3" w:rsidRPr="00E70003">
        <w:t xml:space="preserve">erform audits or reviews of the </w:t>
      </w:r>
      <w:r w:rsidR="00545FE8">
        <w:t>CIL</w:t>
      </w:r>
      <w:r w:rsidR="003E00E3" w:rsidRPr="00E70003">
        <w:t>’</w:t>
      </w:r>
      <w:r w:rsidR="003F48A3" w:rsidRPr="00E70003">
        <w:t>s financial statements.</w:t>
      </w:r>
      <w:r>
        <w:rPr>
          <w:rStyle w:val="FootnoteReference"/>
        </w:rPr>
        <w:footnoteReference w:id="10"/>
      </w:r>
    </w:p>
    <w:p w14:paraId="5AB6C65D" w14:textId="6FFFFE2E" w:rsidR="002E3233" w:rsidRPr="00E70003" w:rsidRDefault="00750A48" w:rsidP="00750A48">
      <w:pPr>
        <w:pStyle w:val="ListBullet"/>
      </w:pPr>
      <w:r>
        <w:t>P</w:t>
      </w:r>
      <w:r w:rsidR="003F48A3" w:rsidRPr="00E70003">
        <w:t xml:space="preserve">erform a compliance audit in accordance with </w:t>
      </w:r>
      <w:r w:rsidR="000E20EA">
        <w:t>Uniform Guidance</w:t>
      </w:r>
      <w:r w:rsidR="003E00E3" w:rsidRPr="00E70003">
        <w:t>.</w:t>
      </w:r>
      <w:r>
        <w:t xml:space="preserve"> </w:t>
      </w:r>
    </w:p>
    <w:p w14:paraId="0A6A7D9C" w14:textId="3010F077" w:rsidR="00466B55" w:rsidRDefault="002A4DE1" w:rsidP="00FC6DA2">
      <w:pPr>
        <w:pStyle w:val="Heading2special"/>
      </w:pPr>
      <w:bookmarkStart w:id="89" w:name="_Toc346626462"/>
      <w:bookmarkStart w:id="90" w:name="_Toc347934422"/>
      <w:bookmarkStart w:id="91" w:name="_Toc352681820"/>
      <w:bookmarkStart w:id="92" w:name="_Toc352773482"/>
      <w:bookmarkStart w:id="93" w:name="_Toc352773582"/>
      <w:bookmarkStart w:id="94" w:name="_Toc448404211"/>
      <w:r w:rsidRPr="002A4DE1">
        <w:t xml:space="preserve">Financial Procedures </w:t>
      </w:r>
      <w:r w:rsidR="000D2717">
        <w:t>a</w:t>
      </w:r>
      <w:r w:rsidRPr="002A4DE1">
        <w:t>nd Controls</w:t>
      </w:r>
      <w:bookmarkEnd w:id="89"/>
      <w:bookmarkEnd w:id="90"/>
      <w:bookmarkEnd w:id="91"/>
      <w:bookmarkEnd w:id="92"/>
      <w:bookmarkEnd w:id="93"/>
      <w:bookmarkEnd w:id="94"/>
    </w:p>
    <w:p w14:paraId="12B93A77" w14:textId="77777777" w:rsidR="00FC6DA2" w:rsidRPr="00FC6DA2" w:rsidRDefault="00FC6DA2" w:rsidP="00FC6DA2">
      <w:pPr>
        <w:pStyle w:val="Bodytexttiny"/>
      </w:pPr>
    </w:p>
    <w:p w14:paraId="5392EDB5" w14:textId="7DBFC55B" w:rsidR="004C0F4F" w:rsidRPr="002A4DE1" w:rsidRDefault="004C0F4F" w:rsidP="00FC6DA2">
      <w:pPr>
        <w:pStyle w:val="Heading3special"/>
      </w:pPr>
      <w:bookmarkStart w:id="95" w:name="_Toc346626463"/>
      <w:bookmarkStart w:id="96" w:name="_Toc347934423"/>
      <w:bookmarkStart w:id="97" w:name="_Toc352681821"/>
      <w:bookmarkStart w:id="98" w:name="_Toc352773483"/>
      <w:bookmarkStart w:id="99" w:name="_Toc352773583"/>
      <w:bookmarkStart w:id="100" w:name="_Toc448404212"/>
      <w:r w:rsidRPr="002A4DE1">
        <w:t>Security of Financial Information</w:t>
      </w:r>
      <w:bookmarkEnd w:id="95"/>
      <w:bookmarkEnd w:id="96"/>
      <w:r w:rsidR="009F30D6">
        <w:t xml:space="preserve"> and Other Records</w:t>
      </w:r>
      <w:bookmarkEnd w:id="97"/>
      <w:bookmarkEnd w:id="98"/>
      <w:bookmarkEnd w:id="99"/>
      <w:bookmarkEnd w:id="100"/>
    </w:p>
    <w:p w14:paraId="46B6184A" w14:textId="764C991A" w:rsidR="009F30D6" w:rsidRDefault="009F30D6" w:rsidP="00E70003">
      <w:pPr>
        <w:pStyle w:val="BodyText"/>
      </w:pPr>
      <w:r>
        <w:t>Financial management records, electronic and printed, will be secured at all times. Access to th</w:t>
      </w:r>
      <w:r w:rsidR="00466B55">
        <w:t>o</w:t>
      </w:r>
      <w:r>
        <w:t>se records will be restricted to those whose job responsibilities require access.</w:t>
      </w:r>
    </w:p>
    <w:p w14:paraId="52CE9910" w14:textId="77777777" w:rsidR="00157235" w:rsidRDefault="004C0F4F" w:rsidP="00E70003">
      <w:pPr>
        <w:pStyle w:val="BodyText"/>
      </w:pPr>
      <w:r w:rsidRPr="00E70003">
        <w:t xml:space="preserve">Access to the accounting system will be limited to </w:t>
      </w:r>
      <w:r w:rsidR="002023C7">
        <w:t xml:space="preserve">those whose job responsibilities require such access. </w:t>
      </w:r>
      <w:r w:rsidR="0064195F" w:rsidRPr="0064195F">
        <w:t xml:space="preserve">Each individual will have </w:t>
      </w:r>
      <w:r w:rsidR="003C3E5D">
        <w:t xml:space="preserve">his or her </w:t>
      </w:r>
      <w:r w:rsidR="0064195F" w:rsidRPr="0064195F">
        <w:t>own password for the system</w:t>
      </w:r>
      <w:r w:rsidR="003C3E5D">
        <w:t>.</w:t>
      </w:r>
      <w:r w:rsidR="0064195F" w:rsidRPr="0064195F">
        <w:t xml:space="preserve"> </w:t>
      </w:r>
      <w:r w:rsidR="003C3E5D">
        <w:t>I</w:t>
      </w:r>
      <w:r w:rsidR="0064195F">
        <w:t xml:space="preserve">f security requirements of the accounting system provide for different levels of access to separate modules, </w:t>
      </w:r>
      <w:r w:rsidR="003C3E5D">
        <w:t xml:space="preserve">the </w:t>
      </w:r>
      <w:r w:rsidRPr="00E70003">
        <w:t xml:space="preserve">access rights of each individual will be based on their </w:t>
      </w:r>
      <w:r w:rsidR="00E451BC">
        <w:t>job</w:t>
      </w:r>
      <w:r w:rsidR="00E451BC">
        <w:noBreakHyphen/>
        <w:t xml:space="preserve">related </w:t>
      </w:r>
      <w:r w:rsidR="0064195F">
        <w:t xml:space="preserve">level of </w:t>
      </w:r>
      <w:r w:rsidRPr="00E70003">
        <w:t>need for access</w:t>
      </w:r>
      <w:r w:rsidR="00157235" w:rsidRPr="00E70003">
        <w:t>.</w:t>
      </w:r>
    </w:p>
    <w:p w14:paraId="5AD2CDE8" w14:textId="77777777" w:rsidR="009F30D6" w:rsidRDefault="009F30D6" w:rsidP="00E70003">
      <w:pPr>
        <w:pStyle w:val="BodyText"/>
      </w:pPr>
      <w:r w:rsidRPr="009F30D6">
        <w:t>Consumer records, donor records, and personnel records will be kept in a locked area with access limited to those whose job responsibilities require access.</w:t>
      </w:r>
    </w:p>
    <w:p w14:paraId="643227FA" w14:textId="77777777" w:rsidR="00D4279F" w:rsidRDefault="00D4279F" w:rsidP="0073666E">
      <w:pPr>
        <w:pStyle w:val="Heading3"/>
      </w:pPr>
      <w:bookmarkStart w:id="101" w:name="_Toc352681822"/>
      <w:bookmarkStart w:id="102" w:name="_Toc352773484"/>
      <w:bookmarkStart w:id="103" w:name="_Toc352773584"/>
      <w:bookmarkStart w:id="104" w:name="_Toc448404213"/>
      <w:r>
        <w:t>Segregation of Responsibilities</w:t>
      </w:r>
      <w:bookmarkEnd w:id="101"/>
      <w:bookmarkEnd w:id="102"/>
      <w:bookmarkEnd w:id="103"/>
      <w:bookmarkEnd w:id="104"/>
    </w:p>
    <w:p w14:paraId="733494D5" w14:textId="06ADB582" w:rsidR="0073666E" w:rsidRPr="0073666E" w:rsidRDefault="0073666E" w:rsidP="0073666E">
      <w:pPr>
        <w:pStyle w:val="BodyText"/>
      </w:pPr>
      <w:r>
        <w:t>The board and staff of PENN CIL will ensure the</w:t>
      </w:r>
      <w:r w:rsidR="009C1BBA">
        <w:t xml:space="preserve"> appropriate </w:t>
      </w:r>
      <w:r>
        <w:t>level of segregation of duties at all times. The board and staff will accomplish th</w:t>
      </w:r>
      <w:r w:rsidR="00415A0E">
        <w:t>at</w:t>
      </w:r>
      <w:r>
        <w:t xml:space="preserve"> by following the policies and procedures included in this manual.</w:t>
      </w:r>
    </w:p>
    <w:p w14:paraId="433EA89D" w14:textId="77777777" w:rsidR="00831BC2" w:rsidRPr="00E70003" w:rsidRDefault="00831BC2" w:rsidP="00266D8D">
      <w:pPr>
        <w:pStyle w:val="Heading3"/>
      </w:pPr>
      <w:bookmarkStart w:id="105" w:name="_Toc306027039"/>
      <w:bookmarkStart w:id="106" w:name="_Toc346626464"/>
      <w:bookmarkStart w:id="107" w:name="_Toc347934424"/>
      <w:bookmarkStart w:id="108" w:name="_Toc352681823"/>
      <w:bookmarkStart w:id="109" w:name="_Toc352773485"/>
      <w:bookmarkStart w:id="110" w:name="_Toc352773585"/>
      <w:bookmarkStart w:id="111" w:name="_Toc448404214"/>
      <w:r w:rsidRPr="00E70003">
        <w:t>Cash Receipts</w:t>
      </w:r>
      <w:bookmarkEnd w:id="105"/>
      <w:bookmarkEnd w:id="106"/>
      <w:bookmarkEnd w:id="107"/>
      <w:bookmarkEnd w:id="108"/>
      <w:bookmarkEnd w:id="109"/>
      <w:bookmarkEnd w:id="110"/>
      <w:bookmarkEnd w:id="111"/>
    </w:p>
    <w:p w14:paraId="55D764FA" w14:textId="77777777" w:rsidR="009F30D6" w:rsidRDefault="009F30D6" w:rsidP="00E70003">
      <w:pPr>
        <w:pStyle w:val="BodyText"/>
      </w:pPr>
      <w:r w:rsidRPr="009F30D6">
        <w:t>Blank checks, checks or cash held for deposit, and checks held for employees or vendors will be kept in a locked area with access limited to those whose job responsibilities require access.</w:t>
      </w:r>
    </w:p>
    <w:p w14:paraId="4349B1C6" w14:textId="77777777" w:rsidR="00831BC2" w:rsidRPr="00E70003" w:rsidRDefault="00831BC2" w:rsidP="00E70003">
      <w:pPr>
        <w:pStyle w:val="BodyText"/>
      </w:pPr>
      <w:r w:rsidRPr="00E70003">
        <w:t xml:space="preserve">Cash receipts generally </w:t>
      </w:r>
      <w:r w:rsidR="0077191C">
        <w:t xml:space="preserve">come </w:t>
      </w:r>
      <w:r w:rsidRPr="00E70003">
        <w:t>from</w:t>
      </w:r>
      <w:r w:rsidR="002023C7">
        <w:t xml:space="preserve"> the following sources</w:t>
      </w:r>
      <w:r w:rsidRPr="00E70003">
        <w:t>:</w:t>
      </w:r>
    </w:p>
    <w:p w14:paraId="7D35C26E" w14:textId="77777777" w:rsidR="002468DB" w:rsidRDefault="00831BC2" w:rsidP="00835546">
      <w:pPr>
        <w:pStyle w:val="ListBullet"/>
      </w:pPr>
      <w:r w:rsidRPr="00F2539D">
        <w:t xml:space="preserve">Contracts and </w:t>
      </w:r>
      <w:r w:rsidR="00F314B2">
        <w:t>g</w:t>
      </w:r>
      <w:r w:rsidR="00F314B2" w:rsidRPr="00F2539D">
        <w:t xml:space="preserve">rants </w:t>
      </w:r>
      <w:r w:rsidR="003F48A3" w:rsidRPr="00F2539D">
        <w:t>(federal and other)</w:t>
      </w:r>
    </w:p>
    <w:p w14:paraId="1270FD6F" w14:textId="77777777" w:rsidR="002468DB" w:rsidRDefault="00831BC2" w:rsidP="00835546">
      <w:pPr>
        <w:pStyle w:val="ListBullet"/>
      </w:pPr>
      <w:r w:rsidRPr="00F2539D">
        <w:t>Direct donor contributions</w:t>
      </w:r>
    </w:p>
    <w:p w14:paraId="13B74E63" w14:textId="77777777" w:rsidR="00831BC2" w:rsidRPr="00F2539D" w:rsidRDefault="00831BC2" w:rsidP="00835546">
      <w:pPr>
        <w:pStyle w:val="ListBullet"/>
      </w:pPr>
      <w:r w:rsidRPr="00F2539D">
        <w:t>Fundraising activities</w:t>
      </w:r>
    </w:p>
    <w:p w14:paraId="7A46F53E" w14:textId="70DAFCA3" w:rsidR="00C92225" w:rsidRDefault="003C3E5D" w:rsidP="00F2539D">
      <w:pPr>
        <w:pStyle w:val="BodyText"/>
      </w:pPr>
      <w:bookmarkStart w:id="112" w:name="_Toc346626465"/>
      <w:r>
        <w:t xml:space="preserve">Incoming mail will be opened by </w:t>
      </w:r>
      <w:r w:rsidR="000B1F9F">
        <w:t xml:space="preserve">a </w:t>
      </w:r>
      <w:r>
        <w:t xml:space="preserve">staff member designated by the </w:t>
      </w:r>
      <w:r w:rsidR="007E3C83">
        <w:t>e</w:t>
      </w:r>
      <w:r>
        <w:t xml:space="preserve">xecutive </w:t>
      </w:r>
      <w:r w:rsidR="007E3C83">
        <w:t>d</w:t>
      </w:r>
      <w:r>
        <w:t xml:space="preserve">irector. </w:t>
      </w:r>
      <w:r w:rsidR="00D3076A">
        <w:t xml:space="preserve">When checks or cash are received, he or she will </w:t>
      </w:r>
      <w:r w:rsidR="00111444">
        <w:t>perform the following tasks</w:t>
      </w:r>
      <w:r w:rsidR="00D3076A">
        <w:t>:</w:t>
      </w:r>
      <w:bookmarkEnd w:id="112"/>
    </w:p>
    <w:p w14:paraId="0F3B3E18" w14:textId="5D075699" w:rsidR="006E62E3" w:rsidRDefault="00C92225" w:rsidP="006E62E3">
      <w:pPr>
        <w:pStyle w:val="ListNumber"/>
        <w:numPr>
          <w:ilvl w:val="0"/>
          <w:numId w:val="13"/>
        </w:numPr>
      </w:pPr>
      <w:r w:rsidRPr="004635CD">
        <w:lastRenderedPageBreak/>
        <w:t xml:space="preserve">Stamp the back of </w:t>
      </w:r>
      <w:r w:rsidR="00BD2366" w:rsidRPr="004635CD">
        <w:t xml:space="preserve">any </w:t>
      </w:r>
      <w:r w:rsidRPr="004635CD">
        <w:t>check</w:t>
      </w:r>
      <w:r w:rsidR="00BD2366" w:rsidRPr="004635CD">
        <w:t>s</w:t>
      </w:r>
      <w:r w:rsidRPr="004635CD">
        <w:t xml:space="preserve"> </w:t>
      </w:r>
      <w:r w:rsidR="00BD2366" w:rsidRPr="004635CD">
        <w:t>received “</w:t>
      </w:r>
      <w:r w:rsidRPr="004635CD">
        <w:t>For Deposit Only</w:t>
      </w:r>
      <w:r w:rsidR="00835546">
        <w:t>.</w:t>
      </w:r>
      <w:r w:rsidR="00BD2366" w:rsidRPr="004635CD">
        <w:t>”</w:t>
      </w:r>
    </w:p>
    <w:p w14:paraId="6EC9C7DA" w14:textId="7D921AD9" w:rsidR="003C3E5D" w:rsidRPr="004635CD" w:rsidRDefault="003C3E5D" w:rsidP="004635CD">
      <w:pPr>
        <w:pStyle w:val="ListNumber"/>
        <w:numPr>
          <w:ilvl w:val="0"/>
          <w:numId w:val="13"/>
        </w:numPr>
      </w:pPr>
      <w:r w:rsidRPr="004635CD">
        <w:t xml:space="preserve">Count </w:t>
      </w:r>
      <w:r w:rsidR="00BD2366" w:rsidRPr="004635CD">
        <w:t>any cash received</w:t>
      </w:r>
      <w:r w:rsidR="00835546">
        <w:t>.</w:t>
      </w:r>
      <w:r w:rsidR="00E451BC" w:rsidRPr="004635CD">
        <w:rPr>
          <w:rStyle w:val="FootnoteReference"/>
        </w:rPr>
        <w:footnoteReference w:id="11"/>
      </w:r>
    </w:p>
    <w:p w14:paraId="4E04EBAF" w14:textId="691CECEB" w:rsidR="00C92225" w:rsidRPr="004635CD" w:rsidRDefault="00C92225" w:rsidP="006E62E3">
      <w:pPr>
        <w:pStyle w:val="ListNumber"/>
      </w:pPr>
      <w:r w:rsidRPr="004635CD">
        <w:t>Complete a deposit slip</w:t>
      </w:r>
      <w:r w:rsidR="00835546">
        <w:t>.</w:t>
      </w:r>
    </w:p>
    <w:p w14:paraId="2DD26B39" w14:textId="15B9D767" w:rsidR="00C92225" w:rsidRPr="004635CD" w:rsidRDefault="00C92225" w:rsidP="004635CD">
      <w:pPr>
        <w:pStyle w:val="ListNumber"/>
      </w:pPr>
      <w:r w:rsidRPr="004635CD">
        <w:t xml:space="preserve">Make a </w:t>
      </w:r>
      <w:r w:rsidR="00E451BC" w:rsidRPr="004635CD">
        <w:t>photo</w:t>
      </w:r>
      <w:r w:rsidRPr="004635CD">
        <w:t>copy</w:t>
      </w:r>
      <w:r w:rsidR="000E20EA">
        <w:t>, or electronic copy</w:t>
      </w:r>
      <w:r w:rsidRPr="004635CD">
        <w:t xml:space="preserve"> of </w:t>
      </w:r>
      <w:r w:rsidR="00E451BC" w:rsidRPr="004635CD">
        <w:t xml:space="preserve">any </w:t>
      </w:r>
      <w:r w:rsidRPr="004635CD">
        <w:t>check</w:t>
      </w:r>
      <w:r w:rsidR="00E451BC" w:rsidRPr="004635CD">
        <w:t>s</w:t>
      </w:r>
      <w:r w:rsidRPr="004635CD">
        <w:t xml:space="preserve"> </w:t>
      </w:r>
      <w:r w:rsidR="00E451BC" w:rsidRPr="004635CD">
        <w:t xml:space="preserve">received </w:t>
      </w:r>
      <w:r w:rsidRPr="004635CD">
        <w:t>and any accompanying documentation</w:t>
      </w:r>
      <w:r w:rsidR="00835546">
        <w:t>.</w:t>
      </w:r>
    </w:p>
    <w:p w14:paraId="7C682A97" w14:textId="158950B4" w:rsidR="00A67859" w:rsidRPr="004635CD" w:rsidRDefault="00C92225" w:rsidP="004635CD">
      <w:pPr>
        <w:pStyle w:val="ListNumber"/>
      </w:pPr>
      <w:r w:rsidRPr="004635CD">
        <w:t xml:space="preserve">Make timely bank deposits </w:t>
      </w:r>
      <w:r w:rsidR="00E76F09" w:rsidRPr="004635CD">
        <w:t>at least once each week</w:t>
      </w:r>
      <w:r w:rsidR="00835546">
        <w:t>.</w:t>
      </w:r>
      <w:r w:rsidR="00A16896" w:rsidRPr="004635CD">
        <w:rPr>
          <w:rStyle w:val="FootnoteReference"/>
        </w:rPr>
        <w:footnoteReference w:id="12"/>
      </w:r>
    </w:p>
    <w:p w14:paraId="4336EE99" w14:textId="49C80786" w:rsidR="00C92225" w:rsidRPr="004635CD" w:rsidRDefault="00C92225" w:rsidP="004635CD">
      <w:pPr>
        <w:pStyle w:val="ListNumber"/>
      </w:pPr>
      <w:r w:rsidRPr="004635CD">
        <w:t>Obtain an office copy of the receipted bank deposit</w:t>
      </w:r>
      <w:r w:rsidR="00835546">
        <w:t>.</w:t>
      </w:r>
    </w:p>
    <w:p w14:paraId="2D6C3448" w14:textId="77777777" w:rsidR="00A67859" w:rsidRPr="004635CD" w:rsidRDefault="00C92225" w:rsidP="004635CD">
      <w:pPr>
        <w:pStyle w:val="ListNumber"/>
      </w:pPr>
      <w:r w:rsidRPr="004635CD">
        <w:t xml:space="preserve">Provide </w:t>
      </w:r>
      <w:r w:rsidR="002023C7" w:rsidRPr="004635CD">
        <w:t xml:space="preserve">a </w:t>
      </w:r>
      <w:r w:rsidRPr="004635CD">
        <w:t xml:space="preserve">copy of </w:t>
      </w:r>
      <w:r w:rsidR="002023C7" w:rsidRPr="004635CD">
        <w:t xml:space="preserve">the </w:t>
      </w:r>
      <w:r w:rsidRPr="004635CD">
        <w:t>check</w:t>
      </w:r>
      <w:r w:rsidR="00053860">
        <w:t>s</w:t>
      </w:r>
      <w:r w:rsidRPr="004635CD">
        <w:t xml:space="preserve"> and deposit slip and receipt</w:t>
      </w:r>
      <w:r w:rsidR="00FB579F" w:rsidRPr="004635CD">
        <w:t xml:space="preserve"> (or check scanning report)</w:t>
      </w:r>
      <w:r w:rsidRPr="004635CD">
        <w:t xml:space="preserve"> to the </w:t>
      </w:r>
      <w:r w:rsidR="00A16896" w:rsidRPr="004635CD">
        <w:t>a</w:t>
      </w:r>
      <w:r w:rsidRPr="004635CD">
        <w:t>ccountant to record in the accounting system.</w:t>
      </w:r>
    </w:p>
    <w:p w14:paraId="2B1E79B0" w14:textId="77777777" w:rsidR="00D3076A" w:rsidRDefault="00D3076A" w:rsidP="00A85960">
      <w:pPr>
        <w:pStyle w:val="BodyText"/>
      </w:pPr>
      <w:r w:rsidRPr="00D3076A">
        <w:t xml:space="preserve">Under no circumstance shall the accountant (bookkeeper) perform </w:t>
      </w:r>
      <w:r w:rsidR="005B74D6">
        <w:t xml:space="preserve">any of the above seven </w:t>
      </w:r>
      <w:r w:rsidRPr="00D3076A">
        <w:t>task</w:t>
      </w:r>
      <w:r>
        <w:t>s</w:t>
      </w:r>
      <w:r w:rsidRPr="00D3076A">
        <w:t>.</w:t>
      </w:r>
    </w:p>
    <w:p w14:paraId="4B2F0C02" w14:textId="77777777" w:rsidR="00157235" w:rsidRPr="00E70003" w:rsidRDefault="00157235" w:rsidP="00266D8D">
      <w:pPr>
        <w:pStyle w:val="Heading3"/>
      </w:pPr>
      <w:bookmarkStart w:id="113" w:name="_Toc347934425"/>
      <w:bookmarkStart w:id="114" w:name="_Toc346626466"/>
      <w:bookmarkStart w:id="115" w:name="_Toc352681824"/>
      <w:bookmarkStart w:id="116" w:name="_Toc352773486"/>
      <w:bookmarkStart w:id="117" w:name="_Toc352773586"/>
      <w:bookmarkStart w:id="118" w:name="_Toc448404215"/>
      <w:r w:rsidRPr="00E70003">
        <w:t>Federal Draw</w:t>
      </w:r>
      <w:r w:rsidR="008248FA">
        <w:t>downs</w:t>
      </w:r>
      <w:bookmarkEnd w:id="113"/>
      <w:bookmarkEnd w:id="114"/>
      <w:bookmarkEnd w:id="115"/>
      <w:bookmarkEnd w:id="116"/>
      <w:bookmarkEnd w:id="117"/>
      <w:bookmarkEnd w:id="118"/>
    </w:p>
    <w:p w14:paraId="66EC95F8" w14:textId="35D3D70D" w:rsidR="00157235" w:rsidRPr="0096699C" w:rsidRDefault="00157235" w:rsidP="00E70003">
      <w:pPr>
        <w:pStyle w:val="BodyText"/>
      </w:pPr>
      <w:r w:rsidRPr="00E70003">
        <w:t>Draw</w:t>
      </w:r>
      <w:r w:rsidR="0077191C">
        <w:t>down</w:t>
      </w:r>
      <w:r w:rsidRPr="00E70003">
        <w:t>s from the federal government</w:t>
      </w:r>
      <w:r w:rsidR="00053860">
        <w:t xml:space="preserve"> or other funders</w:t>
      </w:r>
      <w:r w:rsidRPr="00E70003">
        <w:t xml:space="preserve"> will be </w:t>
      </w:r>
      <w:r w:rsidR="0077191C">
        <w:t xml:space="preserve">made </w:t>
      </w:r>
      <w:r w:rsidRPr="00E70003">
        <w:t>to cover</w:t>
      </w:r>
      <w:r w:rsidR="003F48A3" w:rsidRPr="00E70003">
        <w:t xml:space="preserve"> the amounts that have been expended and not previously voucher</w:t>
      </w:r>
      <w:r w:rsidR="00574FCC" w:rsidRPr="00E70003">
        <w:t>ed</w:t>
      </w:r>
      <w:r w:rsidR="003F48A3" w:rsidRPr="00E70003">
        <w:t xml:space="preserve"> and other amounts that w</w:t>
      </w:r>
      <w:r w:rsidR="00983E04">
        <w:t>ill</w:t>
      </w:r>
      <w:r w:rsidR="003F48A3" w:rsidRPr="00E70003">
        <w:t xml:space="preserve"> be paid shortly after draws </w:t>
      </w:r>
      <w:r w:rsidR="00983E04">
        <w:t>are</w:t>
      </w:r>
      <w:r w:rsidR="003F48A3" w:rsidRPr="00E70003">
        <w:t xml:space="preserve"> receive</w:t>
      </w:r>
      <w:r w:rsidR="003F48A3" w:rsidRPr="001629CF">
        <w:t>d</w:t>
      </w:r>
      <w:r w:rsidRPr="001629CF">
        <w:t>.</w:t>
      </w:r>
      <w:r w:rsidR="0077191C">
        <w:t xml:space="preserve"> </w:t>
      </w:r>
      <w:r w:rsidR="00435FCF">
        <w:t>Reimbursement of federal funds is preferred. However, if advances are required, they will be supported by documented</w:t>
      </w:r>
      <w:r w:rsidR="00FC0274">
        <w:t>,</w:t>
      </w:r>
      <w:r w:rsidR="00435FCF">
        <w:t xml:space="preserve"> allowable</w:t>
      </w:r>
      <w:r w:rsidR="0034505B">
        <w:t>,</w:t>
      </w:r>
      <w:r w:rsidR="00435FCF">
        <w:t xml:space="preserve"> and reimbursable costs and will be expended as soon as administratively possible after they are received. </w:t>
      </w:r>
      <w:r w:rsidRPr="00E70003">
        <w:t xml:space="preserve">The </w:t>
      </w:r>
      <w:r w:rsidR="00A16896">
        <w:t>a</w:t>
      </w:r>
      <w:r w:rsidRPr="00E70003">
        <w:t>ccountant will</w:t>
      </w:r>
      <w:r w:rsidR="004C0F4F" w:rsidRPr="00E70003">
        <w:t xml:space="preserve"> calculate</w:t>
      </w:r>
      <w:r w:rsidR="00C92225" w:rsidRPr="00E70003">
        <w:t xml:space="preserve"> and </w:t>
      </w:r>
      <w:r w:rsidR="004C0F4F" w:rsidRPr="00E70003">
        <w:t xml:space="preserve">document </w:t>
      </w:r>
      <w:r w:rsidRPr="00E70003">
        <w:t>the</w:t>
      </w:r>
      <w:r w:rsidR="004C0F4F" w:rsidRPr="00E70003">
        <w:t xml:space="preserve"> draw </w:t>
      </w:r>
      <w:r w:rsidRPr="00E70003">
        <w:t>needed to cover the</w:t>
      </w:r>
      <w:r w:rsidR="003F48A3" w:rsidRPr="00E70003">
        <w:t>se amounts</w:t>
      </w:r>
      <w:r w:rsidR="00FC0274">
        <w:t>.</w:t>
      </w:r>
      <w:r w:rsidR="0059318E">
        <w:rPr>
          <w:rStyle w:val="FootnoteReference"/>
        </w:rPr>
        <w:footnoteReference w:id="13"/>
      </w:r>
      <w:r w:rsidR="00965FD6" w:rsidRPr="00435FCF">
        <w:t xml:space="preserve"> </w:t>
      </w:r>
    </w:p>
    <w:p w14:paraId="1D4244DB" w14:textId="429CB5BD" w:rsidR="00D92885" w:rsidRDefault="00D92885" w:rsidP="00D92885">
      <w:pPr>
        <w:pStyle w:val="BodyText"/>
      </w:pPr>
      <w:r>
        <w:t>PENN CIL will seek cash advances limited to the minimum amounts needed</w:t>
      </w:r>
      <w:r w:rsidR="00A771CC">
        <w:t>,</w:t>
      </w:r>
      <w:r>
        <w:t xml:space="preserve"> and </w:t>
      </w:r>
      <w:r w:rsidR="009F30D6">
        <w:t xml:space="preserve">advances will </w:t>
      </w:r>
      <w:r>
        <w:t xml:space="preserve">be timed to be in accordance with its actual, immediate cash requirements in carrying out the purpose of the approved program or project. It is </w:t>
      </w:r>
      <w:r w:rsidR="00A16896">
        <w:t>the policy of this organization</w:t>
      </w:r>
      <w:r w:rsidR="00CF2B93">
        <w:t>, consistent with federal regulation,</w:t>
      </w:r>
      <w:r w:rsidR="00A16896">
        <w:t xml:space="preserve"> </w:t>
      </w:r>
      <w:r>
        <w:t xml:space="preserve">to </w:t>
      </w:r>
      <w:r w:rsidR="00CF2B93">
        <w:t xml:space="preserve">not </w:t>
      </w:r>
      <w:r>
        <w:t>draw down federal funds in advance of costs to manage cash flow.</w:t>
      </w:r>
    </w:p>
    <w:p w14:paraId="12583F68" w14:textId="77777777" w:rsidR="00053860" w:rsidRDefault="00053860" w:rsidP="00D92885">
      <w:pPr>
        <w:pStyle w:val="BodyText"/>
      </w:pPr>
      <w:r>
        <w:t>Any federal advances received must be deposited into an interest-bearing account.</w:t>
      </w:r>
    </w:p>
    <w:p w14:paraId="5E8534F2" w14:textId="275C1F2E" w:rsidR="00D92885" w:rsidRDefault="00D92885" w:rsidP="00D92885">
      <w:pPr>
        <w:pStyle w:val="BodyText"/>
      </w:pPr>
      <w:r>
        <w:t xml:space="preserve">PENN CIL will minimize the time </w:t>
      </w:r>
      <w:r w:rsidR="00AF25CE">
        <w:t xml:space="preserve">that elapses </w:t>
      </w:r>
      <w:r>
        <w:t xml:space="preserve">between the transfer of funds to </w:t>
      </w:r>
      <w:r w:rsidR="00A94910" w:rsidRPr="00A94910">
        <w:t xml:space="preserve">PENN CIL </w:t>
      </w:r>
      <w:r>
        <w:t xml:space="preserve">from the U.S. Treasury and the </w:t>
      </w:r>
      <w:r w:rsidR="00460EC4">
        <w:t>payment of related expenses</w:t>
      </w:r>
      <w:r w:rsidR="00835546">
        <w:t xml:space="preserve"> as follows:</w:t>
      </w:r>
      <w:r w:rsidR="00AF25CE">
        <w:rPr>
          <w:rStyle w:val="FootnoteReference"/>
        </w:rPr>
        <w:footnoteReference w:id="14"/>
      </w:r>
    </w:p>
    <w:p w14:paraId="374D22A6" w14:textId="34BC669E" w:rsidR="00AF25CE" w:rsidRPr="00D645B1" w:rsidRDefault="00AF25CE" w:rsidP="0096699C">
      <w:pPr>
        <w:pStyle w:val="ListBullet"/>
      </w:pPr>
      <w:r>
        <w:lastRenderedPageBreak/>
        <w:t xml:space="preserve">The </w:t>
      </w:r>
      <w:r w:rsidR="00D92885">
        <w:t xml:space="preserve">accountant </w:t>
      </w:r>
      <w:r>
        <w:t xml:space="preserve">will </w:t>
      </w:r>
      <w:r w:rsidR="00D92885">
        <w:t xml:space="preserve">prepare a list of </w:t>
      </w:r>
      <w:r w:rsidR="00650B64">
        <w:t xml:space="preserve">payroll and </w:t>
      </w:r>
      <w:r w:rsidR="00D92885">
        <w:t xml:space="preserve">accounts payable supported by </w:t>
      </w:r>
      <w:r w:rsidR="00391121">
        <w:t>documentation</w:t>
      </w:r>
      <w:r w:rsidR="004D3870">
        <w:t>,</w:t>
      </w:r>
      <w:r w:rsidR="00391121">
        <w:t xml:space="preserve"> such as </w:t>
      </w:r>
      <w:r w:rsidR="00D92885">
        <w:t>approved invoices with allocations to each grant source</w:t>
      </w:r>
      <w:r w:rsidR="00391121">
        <w:t>,</w:t>
      </w:r>
      <w:r w:rsidR="00D92885">
        <w:t xml:space="preserve"> </w:t>
      </w:r>
      <w:r>
        <w:t xml:space="preserve">and </w:t>
      </w:r>
      <w:r w:rsidR="00D92885">
        <w:t xml:space="preserve">present this </w:t>
      </w:r>
      <w:r w:rsidR="00D92885" w:rsidRPr="00D645B1">
        <w:t xml:space="preserve">information to the </w:t>
      </w:r>
      <w:r w:rsidR="00A16896" w:rsidRPr="00D645B1">
        <w:t>e</w:t>
      </w:r>
      <w:r w:rsidR="00D92885" w:rsidRPr="00D645B1">
        <w:t xml:space="preserve">xecutive </w:t>
      </w:r>
      <w:r w:rsidR="00A16896" w:rsidRPr="00D645B1">
        <w:t>d</w:t>
      </w:r>
      <w:r w:rsidR="00D92885" w:rsidRPr="00D645B1">
        <w:t>irector</w:t>
      </w:r>
      <w:r w:rsidRPr="00D645B1">
        <w:t>.</w:t>
      </w:r>
      <w:r w:rsidR="009F30D6" w:rsidRPr="00D645B1">
        <w:rPr>
          <w:rStyle w:val="FootnoteReference"/>
        </w:rPr>
        <w:footnoteReference w:id="15"/>
      </w:r>
    </w:p>
    <w:p w14:paraId="25370203" w14:textId="12A7B3ED" w:rsidR="00AF25CE" w:rsidRPr="00D645B1" w:rsidRDefault="00D645B1" w:rsidP="00391121">
      <w:pPr>
        <w:pStyle w:val="ListBullet"/>
      </w:pPr>
      <w:r>
        <w:t>The executive director will identify checks to be written, a</w:t>
      </w:r>
      <w:r w:rsidR="00391121" w:rsidRPr="00D645B1">
        <w:t>fter ensuring that costs are reasonable, allowable, and properly allocated</w:t>
      </w:r>
      <w:r>
        <w:t>.</w:t>
      </w:r>
    </w:p>
    <w:p w14:paraId="4A550069" w14:textId="77777777" w:rsidR="00D92885" w:rsidRDefault="00D92885" w:rsidP="0096699C">
      <w:pPr>
        <w:pStyle w:val="ListBullet"/>
      </w:pPr>
      <w:r>
        <w:t xml:space="preserve">The </w:t>
      </w:r>
      <w:r w:rsidR="00A16896">
        <w:t>e</w:t>
      </w:r>
      <w:r>
        <w:t xml:space="preserve">xecutive </w:t>
      </w:r>
      <w:r w:rsidR="00A16896">
        <w:t>d</w:t>
      </w:r>
      <w:r>
        <w:t>irector will draw the direct deposit funds for the actual amount needed to cover only those checks allocated to that grant.</w:t>
      </w:r>
    </w:p>
    <w:p w14:paraId="39FD9563" w14:textId="77777777" w:rsidR="00157235" w:rsidRPr="00E70003" w:rsidRDefault="00362A0F" w:rsidP="00E70003">
      <w:pPr>
        <w:pStyle w:val="BodyText"/>
      </w:pPr>
      <w:r w:rsidRPr="00E70003">
        <w:t xml:space="preserve">Password access to the federal payment system will be maintained by the </w:t>
      </w:r>
      <w:r w:rsidR="00A16896">
        <w:t>e</w:t>
      </w:r>
      <w:r w:rsidR="00E100A6" w:rsidRPr="00E70003">
        <w:t xml:space="preserve">xecutive </w:t>
      </w:r>
      <w:r w:rsidR="00A16896">
        <w:t>d</w:t>
      </w:r>
      <w:r w:rsidR="00E100A6" w:rsidRPr="00E70003">
        <w:t>irector</w:t>
      </w:r>
      <w:r w:rsidR="00157235" w:rsidRPr="00E70003">
        <w:t xml:space="preserve"> or his/her designee.</w:t>
      </w:r>
    </w:p>
    <w:p w14:paraId="5058B741" w14:textId="77777777" w:rsidR="008B52D2" w:rsidRPr="00E70003" w:rsidRDefault="008B52D2" w:rsidP="00266D8D">
      <w:pPr>
        <w:pStyle w:val="Heading3"/>
      </w:pPr>
      <w:bookmarkStart w:id="119" w:name="_Toc346626468"/>
      <w:bookmarkStart w:id="120" w:name="_Toc347934426"/>
      <w:bookmarkStart w:id="121" w:name="_Toc352681825"/>
      <w:bookmarkStart w:id="122" w:name="_Toc352773487"/>
      <w:bookmarkStart w:id="123" w:name="_Toc352773587"/>
      <w:bookmarkStart w:id="124" w:name="_Toc448404216"/>
      <w:r w:rsidRPr="00E70003">
        <w:t>Expense Allocations</w:t>
      </w:r>
      <w:bookmarkEnd w:id="119"/>
      <w:bookmarkEnd w:id="120"/>
      <w:bookmarkEnd w:id="121"/>
      <w:bookmarkEnd w:id="122"/>
      <w:bookmarkEnd w:id="123"/>
      <w:bookmarkEnd w:id="124"/>
    </w:p>
    <w:p w14:paraId="767B0C9B" w14:textId="6F677DBD" w:rsidR="00CF2B93" w:rsidRDefault="008B52D2" w:rsidP="00E70003">
      <w:pPr>
        <w:pStyle w:val="BodyText"/>
      </w:pPr>
      <w:r w:rsidRPr="00E70003">
        <w:t xml:space="preserve">Payroll and other costs that benefit a single program or cost objective </w:t>
      </w:r>
      <w:r w:rsidR="00337050">
        <w:t xml:space="preserve">shall be </w:t>
      </w:r>
      <w:r w:rsidRPr="00E70003">
        <w:t xml:space="preserve">assigned </w:t>
      </w:r>
      <w:r w:rsidR="00337050">
        <w:t xml:space="preserve">solely </w:t>
      </w:r>
      <w:r w:rsidRPr="00E70003">
        <w:t>to that program or cost objective</w:t>
      </w:r>
      <w:r w:rsidRPr="00D645B1">
        <w:t>. Most expenses</w:t>
      </w:r>
      <w:r w:rsidRPr="00E70003">
        <w:t xml:space="preserve"> that benefit mo</w:t>
      </w:r>
      <w:r w:rsidR="00EB4C08">
        <w:t>re than one program or function</w:t>
      </w:r>
      <w:r w:rsidRPr="00E70003">
        <w:t xml:space="preserve"> (typically administration</w:t>
      </w:r>
      <w:r w:rsidR="00EC6FC1">
        <w:t>, rent and other occupancy costs</w:t>
      </w:r>
      <w:r w:rsidR="0034505B">
        <w:t>,</w:t>
      </w:r>
      <w:r w:rsidRPr="00E70003">
        <w:t xml:space="preserve"> and minor expenditures</w:t>
      </w:r>
      <w:r w:rsidR="00EC6FC1">
        <w:t xml:space="preserve"> such as shared supplies</w:t>
      </w:r>
      <w:r w:rsidRPr="00E70003">
        <w:t>) are allocated to each program</w:t>
      </w:r>
      <w:r w:rsidR="00EC6FC1">
        <w:t xml:space="preserve"> or department </w:t>
      </w:r>
      <w:r w:rsidRPr="00E70003">
        <w:t xml:space="preserve">using a shared cost method, based on </w:t>
      </w:r>
      <w:r w:rsidR="00337050" w:rsidRPr="00337050">
        <w:t>PENN CIL</w:t>
      </w:r>
      <w:r w:rsidR="00337050">
        <w:t>’s</w:t>
      </w:r>
      <w:r w:rsidR="00337050" w:rsidRPr="00337050">
        <w:t xml:space="preserve"> </w:t>
      </w:r>
      <w:r w:rsidR="00477A1E">
        <w:t>Indirect Cost Rate</w:t>
      </w:r>
      <w:r w:rsidR="0034505B">
        <w:t xml:space="preserve"> </w:t>
      </w:r>
      <w:r w:rsidR="00965FD6">
        <w:t>approved by the cognizant federal agency</w:t>
      </w:r>
      <w:r w:rsidR="00D645B1">
        <w:rPr>
          <w:rStyle w:val="FootnoteReference"/>
        </w:rPr>
        <w:footnoteReference w:id="16"/>
      </w:r>
      <w:r w:rsidR="00F54711" w:rsidRPr="0044452B">
        <w:rPr>
          <w:vertAlign w:val="superscript"/>
        </w:rPr>
        <w:t>,</w:t>
      </w:r>
      <w:r w:rsidR="008B442C">
        <w:rPr>
          <w:rStyle w:val="FootnoteReference"/>
        </w:rPr>
        <w:t xml:space="preserve"> </w:t>
      </w:r>
      <w:r w:rsidR="00EB5424">
        <w:rPr>
          <w:rStyle w:val="FootnoteReference"/>
        </w:rPr>
        <w:footnoteReference w:id="17"/>
      </w:r>
      <w:r w:rsidR="00EB5424">
        <w:t>.</w:t>
      </w:r>
    </w:p>
    <w:p w14:paraId="699F87E6" w14:textId="77777777" w:rsidR="008B52D2" w:rsidRPr="00E70003" w:rsidRDefault="008B52D2" w:rsidP="00E70003">
      <w:pPr>
        <w:pStyle w:val="BodyText"/>
      </w:pPr>
      <w:r w:rsidRPr="00E70003">
        <w:t>All expenditures of federal funds must be adequately documented to be considered allowable.</w:t>
      </w:r>
    </w:p>
    <w:p w14:paraId="282D6A7B" w14:textId="77777777" w:rsidR="008B52D2" w:rsidRDefault="008B52D2" w:rsidP="00FC6DA2">
      <w:pPr>
        <w:pStyle w:val="Heading2special"/>
      </w:pPr>
      <w:bookmarkStart w:id="125" w:name="_Toc346626469"/>
      <w:bookmarkStart w:id="126" w:name="_Toc347934427"/>
      <w:bookmarkStart w:id="127" w:name="_Ref348955600"/>
      <w:bookmarkStart w:id="128" w:name="_Toc352681826"/>
      <w:bookmarkStart w:id="129" w:name="_Toc352773488"/>
      <w:bookmarkStart w:id="130" w:name="_Toc352773588"/>
      <w:bookmarkStart w:id="131" w:name="_Toc448404217"/>
      <w:r w:rsidRPr="0096699C">
        <w:t xml:space="preserve">Grant Administration </w:t>
      </w:r>
      <w:r w:rsidR="00E274D1">
        <w:t>and</w:t>
      </w:r>
      <w:r w:rsidR="00E274D1" w:rsidRPr="0096699C">
        <w:t xml:space="preserve"> </w:t>
      </w:r>
      <w:r w:rsidRPr="0096699C">
        <w:t>Payment System</w:t>
      </w:r>
      <w:bookmarkEnd w:id="125"/>
      <w:bookmarkEnd w:id="126"/>
      <w:bookmarkEnd w:id="127"/>
      <w:bookmarkEnd w:id="128"/>
      <w:bookmarkEnd w:id="129"/>
      <w:bookmarkEnd w:id="130"/>
      <w:bookmarkEnd w:id="131"/>
    </w:p>
    <w:p w14:paraId="70AE4ACE" w14:textId="77777777" w:rsidR="00FC6DA2" w:rsidRPr="00FC6DA2" w:rsidRDefault="00FC6DA2" w:rsidP="00FC6DA2">
      <w:pPr>
        <w:pStyle w:val="Bodytexttiny"/>
      </w:pPr>
    </w:p>
    <w:p w14:paraId="715AC80C" w14:textId="77777777" w:rsidR="00157235" w:rsidRPr="00E70003" w:rsidRDefault="00157235" w:rsidP="00FC6DA2">
      <w:pPr>
        <w:pStyle w:val="Heading3special"/>
      </w:pPr>
      <w:bookmarkStart w:id="132" w:name="_Toc346626470"/>
      <w:bookmarkStart w:id="133" w:name="_Toc347934428"/>
      <w:bookmarkStart w:id="134" w:name="_Toc352681827"/>
      <w:bookmarkStart w:id="135" w:name="_Toc352773489"/>
      <w:bookmarkStart w:id="136" w:name="_Toc352773589"/>
      <w:bookmarkStart w:id="137" w:name="_Toc448404218"/>
      <w:r w:rsidRPr="00E70003">
        <w:t xml:space="preserve">Check </w:t>
      </w:r>
      <w:r w:rsidR="008B52D2" w:rsidRPr="00E70003">
        <w:t>Preparation and Signatures</w:t>
      </w:r>
      <w:bookmarkEnd w:id="132"/>
      <w:bookmarkEnd w:id="133"/>
      <w:bookmarkEnd w:id="134"/>
      <w:bookmarkEnd w:id="135"/>
      <w:bookmarkEnd w:id="136"/>
      <w:bookmarkEnd w:id="137"/>
    </w:p>
    <w:p w14:paraId="42B96C9F" w14:textId="77777777" w:rsidR="00D308EE" w:rsidRPr="00E70003" w:rsidRDefault="00D14C04" w:rsidP="00E70003">
      <w:pPr>
        <w:pStyle w:val="BodyText"/>
      </w:pPr>
      <w:r w:rsidRPr="00E70003">
        <w:t>T</w:t>
      </w:r>
      <w:r w:rsidR="00157235" w:rsidRPr="00E70003">
        <w:t xml:space="preserve">he </w:t>
      </w:r>
      <w:r w:rsidR="00A51BDC">
        <w:t>e</w:t>
      </w:r>
      <w:r w:rsidR="00E100A6" w:rsidRPr="00E70003">
        <w:t xml:space="preserve">xecutive </w:t>
      </w:r>
      <w:r w:rsidR="00A51BDC">
        <w:t>d</w:t>
      </w:r>
      <w:r w:rsidR="00E100A6" w:rsidRPr="00E70003">
        <w:t>irector</w:t>
      </w:r>
      <w:r w:rsidR="00157235" w:rsidRPr="00E70003">
        <w:t xml:space="preserve"> or his/her designee</w:t>
      </w:r>
      <w:r w:rsidRPr="00E70003">
        <w:t xml:space="preserve"> will authorize</w:t>
      </w:r>
      <w:r w:rsidR="00157235" w:rsidRPr="00E70003">
        <w:t xml:space="preserve"> the payment of expenses related to the operation of </w:t>
      </w:r>
      <w:r w:rsidR="00321283" w:rsidRPr="00E70003">
        <w:t>PENN CIL</w:t>
      </w:r>
      <w:r w:rsidR="00933B8F" w:rsidRPr="00E70003">
        <w:t>.</w:t>
      </w:r>
      <w:r w:rsidR="00157235" w:rsidRPr="00E70003">
        <w:t xml:space="preserve"> This includes </w:t>
      </w:r>
      <w:r w:rsidRPr="00E70003">
        <w:t xml:space="preserve">payment of payroll, </w:t>
      </w:r>
      <w:r w:rsidR="00337050">
        <w:t xml:space="preserve">payment for </w:t>
      </w:r>
      <w:r w:rsidRPr="00E70003">
        <w:t>products/services received</w:t>
      </w:r>
      <w:r w:rsidR="00157235" w:rsidRPr="00E70003">
        <w:t xml:space="preserve">, </w:t>
      </w:r>
      <w:r w:rsidR="00337050">
        <w:t xml:space="preserve">and </w:t>
      </w:r>
      <w:r w:rsidR="00157235" w:rsidRPr="00E70003">
        <w:t>lease and contract payments.</w:t>
      </w:r>
    </w:p>
    <w:p w14:paraId="5E88D7C4" w14:textId="77777777" w:rsidR="00157235" w:rsidRPr="00E70003" w:rsidRDefault="00157235" w:rsidP="00E70003">
      <w:pPr>
        <w:pStyle w:val="BodyText"/>
      </w:pPr>
      <w:r w:rsidRPr="00E70003">
        <w:t xml:space="preserve">Outgoing checks require one signature from the approved list. The list of potential </w:t>
      </w:r>
      <w:r w:rsidR="004D0475">
        <w:t xml:space="preserve">signers </w:t>
      </w:r>
      <w:r w:rsidRPr="00E70003">
        <w:t xml:space="preserve">is approved by the </w:t>
      </w:r>
      <w:r w:rsidR="00A51BDC">
        <w:t>b</w:t>
      </w:r>
      <w:r w:rsidRPr="00E70003">
        <w:t xml:space="preserve">oard of </w:t>
      </w:r>
      <w:r w:rsidR="00A51BDC">
        <w:t>d</w:t>
      </w:r>
      <w:r w:rsidRPr="00E70003">
        <w:t>irectors</w:t>
      </w:r>
      <w:r w:rsidR="00E274D1">
        <w:t>,</w:t>
      </w:r>
      <w:r w:rsidRPr="00E70003">
        <w:t xml:space="preserve"> and signature cards are </w:t>
      </w:r>
      <w:r w:rsidR="00D14C04" w:rsidRPr="00E70003">
        <w:t xml:space="preserve">updated as required with </w:t>
      </w:r>
      <w:r w:rsidR="00AE3029">
        <w:t xml:space="preserve">the center’s </w:t>
      </w:r>
      <w:r w:rsidR="00D14C04" w:rsidRPr="00E70003">
        <w:t>bank</w:t>
      </w:r>
      <w:r w:rsidR="004D0475">
        <w:t>ing</w:t>
      </w:r>
      <w:r w:rsidR="00D14C04" w:rsidRPr="00E70003">
        <w:t xml:space="preserve"> </w:t>
      </w:r>
      <w:r w:rsidR="004D0475">
        <w:t>institution</w:t>
      </w:r>
      <w:r w:rsidRPr="00E70003">
        <w:t xml:space="preserve">. Changes to the list of names must be approved by the </w:t>
      </w:r>
      <w:r w:rsidR="00A51BDC">
        <w:t>b</w:t>
      </w:r>
      <w:r w:rsidRPr="00E70003">
        <w:t>oard. The approved list must include, at a minimum,</w:t>
      </w:r>
      <w:r w:rsidR="007E0170">
        <w:t xml:space="preserve"> the treasurer, p</w:t>
      </w:r>
      <w:r w:rsidR="008B52D2" w:rsidRPr="00E70003">
        <w:t xml:space="preserve">resident, and </w:t>
      </w:r>
      <w:r w:rsidR="00CF2B93">
        <w:t>e</w:t>
      </w:r>
      <w:r w:rsidR="00E100A6" w:rsidRPr="00E70003">
        <w:t xml:space="preserve">xecutive </w:t>
      </w:r>
      <w:r w:rsidR="00CF2B93">
        <w:t>d</w:t>
      </w:r>
      <w:r w:rsidR="00E100A6" w:rsidRPr="00E70003">
        <w:t>irector</w:t>
      </w:r>
      <w:r w:rsidR="008739FC">
        <w:t>.</w:t>
      </w:r>
      <w:r w:rsidR="001D7098">
        <w:rPr>
          <w:rStyle w:val="FootnoteReference"/>
        </w:rPr>
        <w:footnoteReference w:id="18"/>
      </w:r>
    </w:p>
    <w:p w14:paraId="42CA6966" w14:textId="3FCEC530" w:rsidR="004C3624" w:rsidRPr="00E70003" w:rsidRDefault="00D14C04" w:rsidP="00E70003">
      <w:pPr>
        <w:pStyle w:val="BodyText"/>
      </w:pPr>
      <w:r w:rsidRPr="00E70003">
        <w:lastRenderedPageBreak/>
        <w:t>All disbursements will be supported by adequate documentation such as time</w:t>
      </w:r>
      <w:r w:rsidR="00E274D1">
        <w:t xml:space="preserve"> </w:t>
      </w:r>
      <w:r w:rsidRPr="00E70003">
        <w:t>sheets for time worked, invoices and/or check request</w:t>
      </w:r>
      <w:r w:rsidR="00B10ED0" w:rsidRPr="00E70003">
        <w:t>s</w:t>
      </w:r>
      <w:r w:rsidRPr="00E70003">
        <w:t xml:space="preserve"> for other disbursements and reimbursements</w:t>
      </w:r>
      <w:r w:rsidR="00157235" w:rsidRPr="00E70003">
        <w:t>.</w:t>
      </w:r>
      <w:r w:rsidR="001E3AD1">
        <w:t xml:space="preserve"> In no case will expenditure</w:t>
      </w:r>
      <w:r w:rsidR="00994270">
        <w:t>s</w:t>
      </w:r>
      <w:r w:rsidR="001E3AD1">
        <w:t xml:space="preserve"> be made without the supporting documentation being reviewed and approved.</w:t>
      </w:r>
    </w:p>
    <w:p w14:paraId="6A3A36CF" w14:textId="7A6F8618" w:rsidR="00157235" w:rsidRPr="00E70003" w:rsidRDefault="00D14C04" w:rsidP="00E70003">
      <w:pPr>
        <w:pStyle w:val="BodyText"/>
      </w:pPr>
      <w:r w:rsidRPr="00E70003">
        <w:t>I</w:t>
      </w:r>
      <w:r w:rsidR="00157235" w:rsidRPr="00E70003">
        <w:t>nvoices that</w:t>
      </w:r>
      <w:r w:rsidRPr="00E70003">
        <w:t xml:space="preserve"> are received electronically are printed,</w:t>
      </w:r>
      <w:r w:rsidR="00157235" w:rsidRPr="00E70003">
        <w:t xml:space="preserve"> and </w:t>
      </w:r>
      <w:r w:rsidRPr="00E70003">
        <w:t>are subject to the same review, appr</w:t>
      </w:r>
      <w:r w:rsidR="00B10ED0" w:rsidRPr="00E70003">
        <w:t>oval</w:t>
      </w:r>
      <w:r w:rsidR="00994270">
        <w:t>,</w:t>
      </w:r>
      <w:r w:rsidR="00B10ED0" w:rsidRPr="00E70003">
        <w:t xml:space="preserve"> and processing procedures a</w:t>
      </w:r>
      <w:r w:rsidRPr="00E70003">
        <w:t>s paper invoices that are received</w:t>
      </w:r>
      <w:r w:rsidR="00157235" w:rsidRPr="00E70003">
        <w:t>.</w:t>
      </w:r>
    </w:p>
    <w:p w14:paraId="56558B59" w14:textId="77777777" w:rsidR="00157235" w:rsidRDefault="00157235" w:rsidP="00E70003">
      <w:pPr>
        <w:pStyle w:val="BodyText"/>
      </w:pPr>
      <w:r w:rsidRPr="00E70003">
        <w:t xml:space="preserve">Signed checks </w:t>
      </w:r>
      <w:r w:rsidR="00337050" w:rsidRPr="00B3523B">
        <w:t>must be</w:t>
      </w:r>
      <w:r w:rsidR="00F30518">
        <w:t xml:space="preserve"> </w:t>
      </w:r>
      <w:r w:rsidRPr="00E70003">
        <w:t>mailed</w:t>
      </w:r>
      <w:r w:rsidR="006E59FB" w:rsidRPr="00E70003">
        <w:t xml:space="preserve"> by </w:t>
      </w:r>
      <w:r w:rsidR="00AE3029">
        <w:t xml:space="preserve">a staff or board member other </w:t>
      </w:r>
      <w:r w:rsidR="006E59FB" w:rsidRPr="00E70003">
        <w:t>than the person who prepare</w:t>
      </w:r>
      <w:r w:rsidR="00D14C04" w:rsidRPr="00E70003">
        <w:t>d</w:t>
      </w:r>
      <w:r w:rsidR="006E59FB" w:rsidRPr="00E70003">
        <w:t xml:space="preserve"> them</w:t>
      </w:r>
      <w:r w:rsidRPr="00E70003">
        <w:t>.</w:t>
      </w:r>
    </w:p>
    <w:p w14:paraId="2ACFC19B" w14:textId="05661720" w:rsidR="00790D0A" w:rsidRDefault="00285EA3" w:rsidP="00E70003">
      <w:pPr>
        <w:pStyle w:val="BodyText"/>
      </w:pPr>
      <w:r>
        <w:t xml:space="preserve">Checks will be </w:t>
      </w:r>
      <w:r w:rsidR="00790D0A" w:rsidRPr="00790D0A">
        <w:t>pre-numbered in sequential order</w:t>
      </w:r>
      <w:r>
        <w:t>. Access to unused checks is limited to individuals</w:t>
      </w:r>
      <w:r w:rsidR="00790D0A" w:rsidRPr="00790D0A">
        <w:t xml:space="preserve"> authorize</w:t>
      </w:r>
      <w:r w:rsidR="007E0170">
        <w:t>d to prepare checks (i.e., the b</w:t>
      </w:r>
      <w:r w:rsidR="00790D0A" w:rsidRPr="00790D0A">
        <w:t xml:space="preserve">ookkeeper). All voided checks should be </w:t>
      </w:r>
      <w:r w:rsidR="00F22B94">
        <w:t xml:space="preserve">retained and </w:t>
      </w:r>
      <w:r w:rsidR="00790D0A" w:rsidRPr="00790D0A">
        <w:t xml:space="preserve">defaced with the signature </w:t>
      </w:r>
      <w:r w:rsidR="00F22B94">
        <w:t>portion of the check removed</w:t>
      </w:r>
      <w:r>
        <w:t>. All checks should be accounted for.</w:t>
      </w:r>
    </w:p>
    <w:p w14:paraId="7F431CD7" w14:textId="77777777" w:rsidR="0059772F" w:rsidRDefault="0059772F" w:rsidP="0059772F">
      <w:pPr>
        <w:pStyle w:val="Heading3"/>
      </w:pPr>
      <w:bookmarkStart w:id="138" w:name="_Toc352681828"/>
      <w:bookmarkStart w:id="139" w:name="_Toc352773490"/>
      <w:bookmarkStart w:id="140" w:name="_Toc352773590"/>
      <w:bookmarkStart w:id="141" w:name="_Toc448404219"/>
      <w:r>
        <w:t>Bank Reconciliation</w:t>
      </w:r>
      <w:r w:rsidR="0073666E">
        <w:t>s</w:t>
      </w:r>
      <w:bookmarkEnd w:id="138"/>
      <w:bookmarkEnd w:id="139"/>
      <w:bookmarkEnd w:id="140"/>
      <w:bookmarkEnd w:id="141"/>
    </w:p>
    <w:p w14:paraId="4CB65386" w14:textId="237847BF" w:rsidR="0059772F" w:rsidRPr="0059772F" w:rsidRDefault="00053860" w:rsidP="0059772F">
      <w:pPr>
        <w:pStyle w:val="BodyText"/>
      </w:pPr>
      <w:r>
        <w:t>Bank accounts will be reconciled as outlined in the responsibilities section of this manual.</w:t>
      </w:r>
    </w:p>
    <w:p w14:paraId="09AF196B" w14:textId="7028E1EB" w:rsidR="00337050" w:rsidRPr="00F22B94" w:rsidRDefault="00337050" w:rsidP="00266D8D">
      <w:pPr>
        <w:pStyle w:val="Heading3"/>
      </w:pPr>
      <w:bookmarkStart w:id="142" w:name="_Toc347934429"/>
      <w:bookmarkStart w:id="143" w:name="_Toc352681829"/>
      <w:bookmarkStart w:id="144" w:name="_Toc352773491"/>
      <w:bookmarkStart w:id="145" w:name="_Toc352773591"/>
      <w:bookmarkStart w:id="146" w:name="_Toc448404220"/>
      <w:r w:rsidRPr="00F22B94">
        <w:t xml:space="preserve">Payroll </w:t>
      </w:r>
      <w:r w:rsidR="00862569" w:rsidRPr="00F22B94">
        <w:t xml:space="preserve">and Time and Effort Reporting </w:t>
      </w:r>
      <w:r w:rsidRPr="00F22B94">
        <w:t>Procedures</w:t>
      </w:r>
      <w:bookmarkEnd w:id="142"/>
      <w:bookmarkEnd w:id="143"/>
      <w:bookmarkEnd w:id="144"/>
      <w:bookmarkEnd w:id="145"/>
      <w:bookmarkEnd w:id="146"/>
    </w:p>
    <w:p w14:paraId="30B045EE" w14:textId="778DE7FA" w:rsidR="006F3FBE" w:rsidRPr="00F22B94" w:rsidRDefault="000D3C77" w:rsidP="00E70003">
      <w:pPr>
        <w:pStyle w:val="BodyText"/>
      </w:pPr>
      <w:r w:rsidRPr="00F22B94">
        <w:t>All employees are required to</w:t>
      </w:r>
      <w:r w:rsidR="0066740B" w:rsidRPr="00F22B94">
        <w:t xml:space="preserve"> complete, sign</w:t>
      </w:r>
      <w:r w:rsidR="00A51BDC" w:rsidRPr="00F22B94">
        <w:t>,</w:t>
      </w:r>
      <w:r w:rsidR="0066740B" w:rsidRPr="00F22B94">
        <w:t xml:space="preserve"> and submit time</w:t>
      </w:r>
      <w:r w:rsidR="00E274D1" w:rsidRPr="00F22B94">
        <w:t xml:space="preserve"> </w:t>
      </w:r>
      <w:r w:rsidR="0066740B" w:rsidRPr="00F22B94">
        <w:t>sheets</w:t>
      </w:r>
      <w:r w:rsidR="00782060" w:rsidRPr="00F22B94">
        <w:t xml:space="preserve"> </w:t>
      </w:r>
      <w:r w:rsidR="006F3FBE" w:rsidRPr="00F22B94">
        <w:t xml:space="preserve">and </w:t>
      </w:r>
      <w:r w:rsidR="00E773E8" w:rsidRPr="00F22B94">
        <w:t>p</w:t>
      </w:r>
      <w:r w:rsidR="006F3FBE" w:rsidRPr="00F22B94">
        <w:t xml:space="preserve">ersonnel </w:t>
      </w:r>
      <w:r w:rsidR="00E773E8" w:rsidRPr="00F22B94">
        <w:t>a</w:t>
      </w:r>
      <w:r w:rsidR="006F3FBE" w:rsidRPr="00F22B94">
        <w:t xml:space="preserve">ctivity </w:t>
      </w:r>
      <w:r w:rsidR="00E773E8" w:rsidRPr="00F22B94">
        <w:t>r</w:t>
      </w:r>
      <w:r w:rsidR="006F3FBE" w:rsidRPr="00F22B94">
        <w:t xml:space="preserve">eports </w:t>
      </w:r>
      <w:r w:rsidR="00790D0A" w:rsidRPr="00F22B94">
        <w:t xml:space="preserve">meeting the requirements </w:t>
      </w:r>
      <w:r w:rsidR="004C2477" w:rsidRPr="00F22B94">
        <w:t>of Uniform</w:t>
      </w:r>
      <w:r w:rsidR="00030192" w:rsidRPr="00F22B94">
        <w:t xml:space="preserve"> Guidance</w:t>
      </w:r>
      <w:r w:rsidR="006F3FBE" w:rsidRPr="00F22B94">
        <w:t>.</w:t>
      </w:r>
      <w:r w:rsidR="00232F32" w:rsidRPr="00F22B94">
        <w:t xml:space="preserve"> </w:t>
      </w:r>
      <w:r w:rsidR="0027719D" w:rsidRPr="00F22B94">
        <w:t>These requirements can be met with separate documents or a single combined document.</w:t>
      </w:r>
    </w:p>
    <w:p w14:paraId="161A2EB0" w14:textId="77777777" w:rsidR="008F7AFE" w:rsidRPr="00F22B94" w:rsidRDefault="008F7AFE" w:rsidP="00E773E8">
      <w:pPr>
        <w:pStyle w:val="Heading4"/>
      </w:pPr>
      <w:r w:rsidRPr="00F22B94">
        <w:t>Payroll Procedures</w:t>
      </w:r>
    </w:p>
    <w:p w14:paraId="3EC66871" w14:textId="2ADF2013" w:rsidR="008F7AFE" w:rsidRPr="00F22B94" w:rsidRDefault="006F3FBE" w:rsidP="00C24D1B">
      <w:pPr>
        <w:pStyle w:val="BodyText2"/>
      </w:pPr>
      <w:r w:rsidRPr="00F22B94">
        <w:t xml:space="preserve">Time sheets </w:t>
      </w:r>
      <w:r w:rsidR="008F7AFE" w:rsidRPr="00F22B94">
        <w:t xml:space="preserve">completed by each employee </w:t>
      </w:r>
      <w:r w:rsidR="0066740B" w:rsidRPr="00F22B94">
        <w:t>accurately account for all time worked during each payroll period</w:t>
      </w:r>
      <w:r w:rsidR="000D3C77" w:rsidRPr="00F22B94">
        <w:t>.</w:t>
      </w:r>
      <w:r w:rsidR="00184F8A" w:rsidRPr="00F22B94">
        <w:t xml:space="preserve"> </w:t>
      </w:r>
      <w:r w:rsidR="008F7AFE" w:rsidRPr="00F22B94">
        <w:t>After approval of time sheets, the accountant will call/enter time worked into the payroll processing system.</w:t>
      </w:r>
      <w:r w:rsidR="008F7AFE" w:rsidRPr="00F22B94">
        <w:rPr>
          <w:rStyle w:val="FootnoteReference"/>
        </w:rPr>
        <w:footnoteReference w:id="19"/>
      </w:r>
      <w:r w:rsidR="008F7AFE" w:rsidRPr="00F22B94">
        <w:t xml:space="preserve"> The payroll service bureau will prepare checks or electronic deposits and a record of payroll by person. The executive director will review the record of payroll by person for accuracy, including proper rates and hours. Checks for payroll and contracted workers are sealed in envelopes by the executive director, and held by the executive director in a locked area for distribution.</w:t>
      </w:r>
    </w:p>
    <w:p w14:paraId="5AA5EFD2" w14:textId="454795EF" w:rsidR="0096409A" w:rsidRPr="00F22B94" w:rsidRDefault="0096409A" w:rsidP="0096409A">
      <w:pPr>
        <w:pStyle w:val="Heading4"/>
      </w:pPr>
      <w:r w:rsidRPr="00F22B94">
        <w:t>Personnel Activity Report</w:t>
      </w:r>
      <w:r w:rsidR="00E773E8" w:rsidRPr="00F22B94">
        <w:t>s</w:t>
      </w:r>
      <w:r w:rsidRPr="00F22B94">
        <w:t xml:space="preserve"> (PAR</w:t>
      </w:r>
      <w:r w:rsidR="00E773E8" w:rsidRPr="00F22B94">
        <w:t>s</w:t>
      </w:r>
      <w:r w:rsidRPr="00F22B94">
        <w:t>)</w:t>
      </w:r>
    </w:p>
    <w:p w14:paraId="611F9783" w14:textId="71743E50" w:rsidR="00136B5F" w:rsidRPr="00F22B94" w:rsidRDefault="0008745E" w:rsidP="00C24D1B">
      <w:pPr>
        <w:pStyle w:val="BodyText2"/>
      </w:pPr>
      <w:r w:rsidRPr="00F22B94">
        <w:t xml:space="preserve">The time and effort of </w:t>
      </w:r>
      <w:r w:rsidR="001413A1" w:rsidRPr="00F22B94">
        <w:t xml:space="preserve">all employees charged to programs, grants or activities will be supported by </w:t>
      </w:r>
      <w:r w:rsidR="006C655D" w:rsidRPr="00F22B94">
        <w:t xml:space="preserve">a </w:t>
      </w:r>
      <w:r w:rsidR="001413A1" w:rsidRPr="00F22B94">
        <w:t>personnel activity report</w:t>
      </w:r>
      <w:r w:rsidR="009E530C" w:rsidRPr="00F22B94">
        <w:t>s</w:t>
      </w:r>
      <w:r w:rsidR="00232F32" w:rsidRPr="00F22B94">
        <w:t xml:space="preserve"> or other documentation</w:t>
      </w:r>
      <w:r w:rsidR="001413A1" w:rsidRPr="00F22B94">
        <w:t xml:space="preserve"> that clearly show</w:t>
      </w:r>
      <w:r w:rsidR="00232F32" w:rsidRPr="00F22B94">
        <w:t>s</w:t>
      </w:r>
      <w:r w:rsidR="001413A1" w:rsidRPr="00F22B94">
        <w:t xml:space="preserve"> the distribution of activity of each employee. </w:t>
      </w:r>
      <w:r w:rsidR="00141E29" w:rsidRPr="00F22B94">
        <w:t xml:space="preserve">PENN CIL uses this documentation to </w:t>
      </w:r>
      <w:r w:rsidR="00141E29" w:rsidRPr="00F22B94">
        <w:lastRenderedPageBreak/>
        <w:t xml:space="preserve">verify the way employees’ time is split between cost objectives. </w:t>
      </w:r>
      <w:r w:rsidR="00C504EB" w:rsidRPr="00F22B94">
        <w:t xml:space="preserve">This requirement applies to supervisory and nonsupervisory employees, as well as to hourly and salaried employees. </w:t>
      </w:r>
      <w:r w:rsidR="0069618F" w:rsidRPr="00F22B94">
        <w:t>Each P</w:t>
      </w:r>
      <w:r w:rsidR="00136B5F" w:rsidRPr="00F22B94">
        <w:t xml:space="preserve">AR— </w:t>
      </w:r>
    </w:p>
    <w:p w14:paraId="69E68635" w14:textId="66AF2926" w:rsidR="00B94CCE" w:rsidRPr="00F22B94" w:rsidRDefault="00835546" w:rsidP="00136B5F">
      <w:pPr>
        <w:pStyle w:val="ListBullet"/>
      </w:pPr>
      <w:r w:rsidRPr="00F22B94">
        <w:t>M</w:t>
      </w:r>
      <w:r w:rsidR="00B94CCE" w:rsidRPr="00F22B94">
        <w:t xml:space="preserve">ust be an after-the-fact record of </w:t>
      </w:r>
      <w:r w:rsidR="000B4D01" w:rsidRPr="00F22B94">
        <w:t xml:space="preserve">actual </w:t>
      </w:r>
      <w:r w:rsidR="00B94CCE" w:rsidRPr="00F22B94">
        <w:t>time worked. It cannot be dated before the end of the time period.</w:t>
      </w:r>
      <w:r w:rsidR="00E36707" w:rsidRPr="00F22B94">
        <w:rPr>
          <w:rStyle w:val="EmphasisBold"/>
        </w:rPr>
        <w:t xml:space="preserve"> </w:t>
      </w:r>
      <w:r w:rsidR="0012024C" w:rsidRPr="00F22B94">
        <w:rPr>
          <w:rStyle w:val="EmphasisBold"/>
        </w:rPr>
        <w:t xml:space="preserve">Budget estimates </w:t>
      </w:r>
      <w:r w:rsidR="00E36707" w:rsidRPr="00F22B94">
        <w:rPr>
          <w:rStyle w:val="EmphasisBold"/>
        </w:rPr>
        <w:t>determined before the work is performed do not qualify</w:t>
      </w:r>
      <w:r w:rsidR="00E36707" w:rsidRPr="00F22B94">
        <w:t>.</w:t>
      </w:r>
    </w:p>
    <w:p w14:paraId="3DFDCB9D" w14:textId="68CA7CDB" w:rsidR="000B4D01" w:rsidRPr="00F22B94" w:rsidRDefault="00835546" w:rsidP="00136B5F">
      <w:pPr>
        <w:pStyle w:val="ListBullet"/>
      </w:pPr>
      <w:r w:rsidRPr="00F22B94">
        <w:t>M</w:t>
      </w:r>
      <w:r w:rsidR="000B4D01" w:rsidRPr="00F22B94">
        <w:t>ust account for the total activity (100%) of the time for which the employee is compensated.</w:t>
      </w:r>
    </w:p>
    <w:p w14:paraId="5C24F8ED" w14:textId="24B317EB" w:rsidR="000B4D01" w:rsidRPr="00F22B94" w:rsidRDefault="00835546" w:rsidP="009E530C">
      <w:pPr>
        <w:pStyle w:val="ListBullet"/>
      </w:pPr>
      <w:r w:rsidRPr="00F22B94">
        <w:t>M</w:t>
      </w:r>
      <w:r w:rsidR="00700058" w:rsidRPr="00F22B94">
        <w:t>ust be signed by the employee</w:t>
      </w:r>
      <w:r w:rsidR="009E530C" w:rsidRPr="00F22B94">
        <w:t xml:space="preserve"> </w:t>
      </w:r>
      <w:r w:rsidR="003E5F8C" w:rsidRPr="00F22B94">
        <w:t>and</w:t>
      </w:r>
      <w:r w:rsidR="003E5F8C" w:rsidRPr="00F22B94">
        <w:rPr>
          <w:rStyle w:val="FootnoteReference"/>
        </w:rPr>
        <w:footnoteReference w:id="20"/>
      </w:r>
      <w:r w:rsidR="00700058" w:rsidRPr="00F22B94">
        <w:t xml:space="preserve"> supervisor, with printed names, titles, and dates for each signature. Signatures certify that the percentage of time being reported under each objective is correct.</w:t>
      </w:r>
      <w:r w:rsidR="0069618F" w:rsidRPr="00F22B94">
        <w:t xml:space="preserve"> </w:t>
      </w:r>
      <w:r w:rsidR="003E5F8C" w:rsidRPr="00F22B94">
        <w:t xml:space="preserve">The supervisory official will have </w:t>
      </w:r>
      <w:r w:rsidR="0069618F" w:rsidRPr="00F22B94">
        <w:t>firsthand knowledge of the activities performed by the employee</w:t>
      </w:r>
      <w:r w:rsidR="00700058" w:rsidRPr="00F22B94">
        <w:t>.</w:t>
      </w:r>
      <w:r w:rsidR="0069618F" w:rsidRPr="00F22B94">
        <w:t xml:space="preserve"> </w:t>
      </w:r>
      <w:r w:rsidR="00700058" w:rsidRPr="00F22B94">
        <w:t xml:space="preserve">There will be </w:t>
      </w:r>
      <w:r w:rsidR="0069618F" w:rsidRPr="00F22B94">
        <w:t xml:space="preserve">a notation that the distribution of activity </w:t>
      </w:r>
      <w:r w:rsidR="00F22B94">
        <w:t>represents a reasonable approximation</w:t>
      </w:r>
      <w:r w:rsidR="0069618F" w:rsidRPr="00F22B94">
        <w:t xml:space="preserve"> of the work actually performed by the employee. </w:t>
      </w:r>
    </w:p>
    <w:p w14:paraId="5D924AFE" w14:textId="0CE13B9B" w:rsidR="00B94CCE" w:rsidRPr="00F22B94" w:rsidRDefault="00835546" w:rsidP="009E530C">
      <w:pPr>
        <w:pStyle w:val="ListBullet"/>
      </w:pPr>
      <w:r w:rsidRPr="00F22B94">
        <w:t>W</w:t>
      </w:r>
      <w:r w:rsidR="0069618F" w:rsidRPr="00F22B94">
        <w:t>ill be prepared at least monthly and will coincide with one or more payroll period(s)</w:t>
      </w:r>
      <w:r w:rsidR="00B94CCE" w:rsidRPr="00F22B94">
        <w:t>.</w:t>
      </w:r>
    </w:p>
    <w:p w14:paraId="5053CFDC" w14:textId="77777777" w:rsidR="00B0341C" w:rsidRPr="00E70003" w:rsidRDefault="00B0341C" w:rsidP="00266D8D">
      <w:pPr>
        <w:pStyle w:val="Heading3"/>
      </w:pPr>
      <w:bookmarkStart w:id="147" w:name="_Toc346626471"/>
      <w:bookmarkStart w:id="148" w:name="_Toc347934430"/>
      <w:bookmarkStart w:id="149" w:name="_Toc352681830"/>
      <w:bookmarkStart w:id="150" w:name="_Toc352773492"/>
      <w:bookmarkStart w:id="151" w:name="_Toc352773592"/>
      <w:bookmarkStart w:id="152" w:name="_Toc448404221"/>
      <w:r w:rsidRPr="00E70003">
        <w:t>Debit and Credit Card Procedures</w:t>
      </w:r>
      <w:bookmarkEnd w:id="147"/>
      <w:bookmarkEnd w:id="148"/>
      <w:bookmarkEnd w:id="149"/>
      <w:bookmarkEnd w:id="150"/>
      <w:bookmarkEnd w:id="151"/>
      <w:bookmarkEnd w:id="152"/>
    </w:p>
    <w:p w14:paraId="3A59FFBE" w14:textId="1F08B840" w:rsidR="003B3529" w:rsidRPr="00F2539D" w:rsidRDefault="00B0341C" w:rsidP="003B3529">
      <w:pPr>
        <w:pStyle w:val="BodyText"/>
      </w:pPr>
      <w:r w:rsidRPr="00E70003">
        <w:t xml:space="preserve">PENN CIL has debit, credit, </w:t>
      </w:r>
      <w:r w:rsidR="00933B8F" w:rsidRPr="00E70003">
        <w:t>and store charge cards that</w:t>
      </w:r>
      <w:r w:rsidRPr="00E70003">
        <w:t xml:space="preserve"> can be used subjec</w:t>
      </w:r>
      <w:r w:rsidR="00933B8F" w:rsidRPr="00E70003">
        <w:t xml:space="preserve">t to the </w:t>
      </w:r>
      <w:r w:rsidR="00933B8F" w:rsidRPr="00F2539D">
        <w:t>following requirements:</w:t>
      </w:r>
    </w:p>
    <w:p w14:paraId="29B4E72E" w14:textId="77777777" w:rsidR="005B0A6C" w:rsidRPr="00F2539D" w:rsidRDefault="00181D59" w:rsidP="00266D8D">
      <w:pPr>
        <w:pStyle w:val="Heading4"/>
      </w:pPr>
      <w:r w:rsidRPr="00F2539D">
        <w:t>Use of Cards by</w:t>
      </w:r>
      <w:r w:rsidR="00DC10D1" w:rsidRPr="00F2539D">
        <w:t xml:space="preserve"> the</w:t>
      </w:r>
      <w:r w:rsidRPr="00F2539D">
        <w:t xml:space="preserve"> </w:t>
      </w:r>
      <w:bookmarkStart w:id="153" w:name="_Toc346626472"/>
      <w:r w:rsidR="004B4935" w:rsidRPr="00F2539D">
        <w:t>E</w:t>
      </w:r>
      <w:r w:rsidR="00B0341C" w:rsidRPr="00F2539D">
        <w:t xml:space="preserve">xecutive </w:t>
      </w:r>
      <w:r w:rsidR="004B4935" w:rsidRPr="00F2539D">
        <w:t>D</w:t>
      </w:r>
      <w:r w:rsidR="00B0341C" w:rsidRPr="00F2539D">
        <w:t>irector</w:t>
      </w:r>
    </w:p>
    <w:bookmarkEnd w:id="153"/>
    <w:p w14:paraId="1C158A4F" w14:textId="77777777" w:rsidR="00B0341C" w:rsidRPr="00F2539D" w:rsidRDefault="00B0341C" w:rsidP="00193F31">
      <w:pPr>
        <w:pStyle w:val="BodyText2"/>
      </w:pPr>
      <w:r w:rsidRPr="00F2539D">
        <w:t xml:space="preserve">The </w:t>
      </w:r>
      <w:r w:rsidR="00DC10D1" w:rsidRPr="00F2539D">
        <w:t>e</w:t>
      </w:r>
      <w:r w:rsidRPr="00F2539D">
        <w:t>xecut</w:t>
      </w:r>
      <w:r w:rsidR="00C815CC" w:rsidRPr="00F2539D">
        <w:t xml:space="preserve">ive </w:t>
      </w:r>
      <w:r w:rsidR="00DC10D1" w:rsidRPr="00F2539D">
        <w:t>d</w:t>
      </w:r>
      <w:r w:rsidR="00C815CC" w:rsidRPr="00F2539D">
        <w:t>irector of PENN CIL</w:t>
      </w:r>
      <w:r w:rsidRPr="00F2539D">
        <w:t xml:space="preserve"> is authorized to utilize debit, credit, </w:t>
      </w:r>
      <w:r w:rsidR="00933B8F" w:rsidRPr="00F2539D">
        <w:t xml:space="preserve">and </w:t>
      </w:r>
      <w:r w:rsidRPr="00F2539D">
        <w:t>store charge card</w:t>
      </w:r>
      <w:r w:rsidR="005E0238" w:rsidRPr="00F2539D">
        <w:t>s</w:t>
      </w:r>
      <w:r w:rsidR="00782BEE">
        <w:t>, subject to a limit of $1,500,</w:t>
      </w:r>
      <w:r w:rsidRPr="00F2539D">
        <w:t xml:space="preserve"> for the purchase or payment of </w:t>
      </w:r>
      <w:r w:rsidR="001E3AD1">
        <w:t xml:space="preserve">allowable </w:t>
      </w:r>
      <w:r w:rsidRPr="00F2539D">
        <w:t xml:space="preserve">costs/expenses related to the normal operation of the programs and services of the </w:t>
      </w:r>
      <w:r w:rsidR="00A953C8">
        <w:t>CIL</w:t>
      </w:r>
      <w:r w:rsidRPr="00F2539D">
        <w:t>. This includes but is not limited to:</w:t>
      </w:r>
    </w:p>
    <w:p w14:paraId="0167ADD4" w14:textId="77777777" w:rsidR="00485EB8" w:rsidRPr="00F2539D" w:rsidRDefault="005B0A6C" w:rsidP="00A51BDC">
      <w:pPr>
        <w:pStyle w:val="ListBullet2"/>
      </w:pPr>
      <w:r w:rsidRPr="00F2539D">
        <w:t>postage expense</w:t>
      </w:r>
    </w:p>
    <w:p w14:paraId="0184492E" w14:textId="77777777" w:rsidR="00485EB8" w:rsidRPr="00F2539D" w:rsidRDefault="005B0A6C" w:rsidP="00A51BDC">
      <w:pPr>
        <w:pStyle w:val="ListBullet2"/>
      </w:pPr>
      <w:r w:rsidRPr="00F2539D">
        <w:t>travel expense</w:t>
      </w:r>
    </w:p>
    <w:p w14:paraId="4AF80ECD" w14:textId="77777777" w:rsidR="00485EB8" w:rsidRPr="00F2539D" w:rsidRDefault="005B0A6C" w:rsidP="00A51BDC">
      <w:pPr>
        <w:pStyle w:val="ListBullet2"/>
      </w:pPr>
      <w:r w:rsidRPr="00F2539D">
        <w:t>supplies expense</w:t>
      </w:r>
    </w:p>
    <w:p w14:paraId="295CB071" w14:textId="77777777" w:rsidR="00485EB8" w:rsidRPr="003F7755" w:rsidRDefault="005B0A6C" w:rsidP="006B1135">
      <w:pPr>
        <w:pStyle w:val="ListBullet2"/>
      </w:pPr>
      <w:r w:rsidRPr="00F2539D">
        <w:t>equipment purchase</w:t>
      </w:r>
    </w:p>
    <w:p w14:paraId="63E9A1BC" w14:textId="767BCC4B" w:rsidR="00B0341C" w:rsidRPr="00F2539D" w:rsidRDefault="00B0341C" w:rsidP="00193F31">
      <w:pPr>
        <w:pStyle w:val="BodyText2"/>
      </w:pPr>
      <w:r w:rsidRPr="00F2539D">
        <w:t xml:space="preserve">The </w:t>
      </w:r>
      <w:r w:rsidR="00DC10D1" w:rsidRPr="00F2539D">
        <w:t>e</w:t>
      </w:r>
      <w:r w:rsidR="000C277D" w:rsidRPr="00F2539D">
        <w:t>x</w:t>
      </w:r>
      <w:r w:rsidRPr="00F2539D">
        <w:t xml:space="preserve">ecutive </w:t>
      </w:r>
      <w:r w:rsidR="00DC10D1" w:rsidRPr="00F2539D">
        <w:t>d</w:t>
      </w:r>
      <w:r w:rsidRPr="00F2539D">
        <w:t xml:space="preserve">irector will </w:t>
      </w:r>
      <w:r w:rsidR="007C1C9E" w:rsidRPr="00F2539D">
        <w:t xml:space="preserve">retain </w:t>
      </w:r>
      <w:r w:rsidRPr="00F2539D">
        <w:t xml:space="preserve">receipts and other documentation for all </w:t>
      </w:r>
      <w:r w:rsidR="00053860">
        <w:t xml:space="preserve">card </w:t>
      </w:r>
      <w:r w:rsidRPr="00F2539D">
        <w:t>purchases</w:t>
      </w:r>
      <w:r w:rsidR="00053860">
        <w:t>,</w:t>
      </w:r>
      <w:r w:rsidRPr="00F2539D">
        <w:t xml:space="preserve"> and </w:t>
      </w:r>
      <w:r w:rsidR="00397D3E">
        <w:t xml:space="preserve">will </w:t>
      </w:r>
      <w:r w:rsidRPr="00F2539D">
        <w:t>provide these to a member of the board for review.</w:t>
      </w:r>
      <w:r w:rsidR="001E3AD1">
        <w:t xml:space="preserve"> The board member will</w:t>
      </w:r>
      <w:r w:rsidR="00050F26">
        <w:t xml:space="preserve"> initial </w:t>
      </w:r>
      <w:r w:rsidR="001E3AD1">
        <w:t>documentation</w:t>
      </w:r>
      <w:r w:rsidR="00050F26">
        <w:t>, or provide other evidence of their review</w:t>
      </w:r>
      <w:r w:rsidR="001E3AD1">
        <w:t xml:space="preserve"> related to the executive director’s use of the card(s).</w:t>
      </w:r>
    </w:p>
    <w:p w14:paraId="14EE9C77" w14:textId="77777777" w:rsidR="00B0341C" w:rsidRPr="00F2539D" w:rsidRDefault="00181D59" w:rsidP="00266D8D">
      <w:pPr>
        <w:pStyle w:val="Heading4"/>
      </w:pPr>
      <w:bookmarkStart w:id="154" w:name="_Toc346626473"/>
      <w:r w:rsidRPr="00F2539D">
        <w:lastRenderedPageBreak/>
        <w:t xml:space="preserve">Use of Cards by </w:t>
      </w:r>
      <w:r w:rsidR="004B4935" w:rsidRPr="00F2539D">
        <w:t>O</w:t>
      </w:r>
      <w:r w:rsidR="005E0238" w:rsidRPr="00F2539D">
        <w:t xml:space="preserve">ther </w:t>
      </w:r>
      <w:r w:rsidR="004B4935" w:rsidRPr="00F2539D">
        <w:t>M</w:t>
      </w:r>
      <w:r w:rsidR="00B0341C" w:rsidRPr="00F2539D">
        <w:t xml:space="preserve">anagement </w:t>
      </w:r>
      <w:r w:rsidR="004B4935" w:rsidRPr="00F2539D">
        <w:t>S</w:t>
      </w:r>
      <w:r w:rsidR="00B0341C" w:rsidRPr="00F2539D">
        <w:t>taff</w:t>
      </w:r>
      <w:bookmarkEnd w:id="154"/>
    </w:p>
    <w:p w14:paraId="20F53BAD" w14:textId="77777777" w:rsidR="00D53551" w:rsidRPr="00F2539D" w:rsidRDefault="00B0341C" w:rsidP="00193F31">
      <w:pPr>
        <w:pStyle w:val="BodyText2"/>
      </w:pPr>
      <w:r w:rsidRPr="00F2539D">
        <w:t xml:space="preserve">Other management staff may use cards for the purchase or payment of cost/expense related to the normal operation of the programs and services of the </w:t>
      </w:r>
      <w:r w:rsidR="00A953C8">
        <w:t>CIL</w:t>
      </w:r>
      <w:r w:rsidRPr="00F2539D">
        <w:t xml:space="preserve"> with prior approval from the </w:t>
      </w:r>
      <w:r w:rsidR="00DC10D1" w:rsidRPr="00F2539D">
        <w:t>e</w:t>
      </w:r>
      <w:r w:rsidRPr="00F2539D">
        <w:t xml:space="preserve">xecutive </w:t>
      </w:r>
      <w:r w:rsidR="00DC10D1" w:rsidRPr="00F2539D">
        <w:t>d</w:t>
      </w:r>
      <w:r w:rsidRPr="00F2539D">
        <w:t>irector subject to a $300 limit. Prior approval may be received in writing</w:t>
      </w:r>
      <w:r w:rsidR="00983E04" w:rsidRPr="00F2539D">
        <w:t>, by email,</w:t>
      </w:r>
      <w:r w:rsidRPr="00F2539D">
        <w:t xml:space="preserve"> or over the phone.</w:t>
      </w:r>
      <w:r w:rsidR="001E3AD1">
        <w:t xml:space="preserve"> If approval is by phone, the date, time of approval, and type and amount of the expenditure approved will be noted by the executive director and made part of the supporting documentation.</w:t>
      </w:r>
    </w:p>
    <w:p w14:paraId="7AFF2965" w14:textId="2D9E18F5" w:rsidR="00D53551" w:rsidRPr="00F2539D" w:rsidRDefault="00B0341C" w:rsidP="00193F31">
      <w:pPr>
        <w:pStyle w:val="BodyText2"/>
      </w:pPr>
      <w:r w:rsidRPr="00F2539D">
        <w:t>As soon as possible after the expenditure, anyone using the card</w:t>
      </w:r>
      <w:r w:rsidR="001F365D" w:rsidRPr="00F2539D">
        <w:t>s</w:t>
      </w:r>
      <w:r w:rsidRPr="00F2539D">
        <w:t xml:space="preserve"> will produce the original receipt and other documentation related to the expense for internal processing and submission </w:t>
      </w:r>
      <w:r w:rsidR="007C1C9E" w:rsidRPr="00F2539D">
        <w:t xml:space="preserve">first to the staff member’s supervisor and then, after approval, to </w:t>
      </w:r>
      <w:r w:rsidRPr="00F2539D">
        <w:t>the accountant. Th</w:t>
      </w:r>
      <w:r w:rsidR="00DC10D1" w:rsidRPr="00F2539D">
        <w:t>e</w:t>
      </w:r>
      <w:r w:rsidRPr="00F2539D">
        <w:t xml:space="preserve"> documentation and/or accompanying notes will explain the nature of the item(s) purchased in a way that permits verification that the item is reasonable, necessary, and allowable, </w:t>
      </w:r>
      <w:r w:rsidR="00DC10D1" w:rsidRPr="00F2539D">
        <w:t xml:space="preserve">and specify </w:t>
      </w:r>
      <w:r w:rsidR="00F3432E" w:rsidRPr="00F2539D">
        <w:t xml:space="preserve">the </w:t>
      </w:r>
      <w:r w:rsidRPr="00F2539D">
        <w:t>program</w:t>
      </w:r>
      <w:r w:rsidR="00397D3E">
        <w:t>(s)</w:t>
      </w:r>
      <w:r w:rsidRPr="00F2539D">
        <w:t xml:space="preserve"> or function</w:t>
      </w:r>
      <w:r w:rsidR="00397D3E">
        <w:t>(s)</w:t>
      </w:r>
      <w:r w:rsidRPr="00F2539D">
        <w:t xml:space="preserve"> </w:t>
      </w:r>
      <w:r w:rsidR="00F3432E" w:rsidRPr="00F2539D">
        <w:t xml:space="preserve">to which </w:t>
      </w:r>
      <w:r w:rsidRPr="00F2539D">
        <w:t>it should be allocated.</w:t>
      </w:r>
    </w:p>
    <w:p w14:paraId="29E407D2" w14:textId="77777777" w:rsidR="00B0341C" w:rsidRPr="00F2539D" w:rsidRDefault="00B0341C" w:rsidP="00266D8D">
      <w:pPr>
        <w:pStyle w:val="Heading4"/>
      </w:pPr>
      <w:r w:rsidRPr="00F2539D">
        <w:t xml:space="preserve">Debit </w:t>
      </w:r>
      <w:r w:rsidR="00DC10D1" w:rsidRPr="00F2539D">
        <w:t>C</w:t>
      </w:r>
      <w:r w:rsidRPr="00F2539D">
        <w:t xml:space="preserve">ard </w:t>
      </w:r>
      <w:r w:rsidR="00DC10D1" w:rsidRPr="00F2539D">
        <w:t>P</w:t>
      </w:r>
      <w:r w:rsidRPr="00F2539D">
        <w:t xml:space="preserve">urchases </w:t>
      </w:r>
      <w:r w:rsidR="00C53FE5">
        <w:t>A</w:t>
      </w:r>
      <w:r w:rsidR="00C53FE5" w:rsidRPr="00F2539D">
        <w:t xml:space="preserve">re </w:t>
      </w:r>
      <w:r w:rsidR="00DC10D1" w:rsidRPr="00F2539D">
        <w:t>L</w:t>
      </w:r>
      <w:r w:rsidRPr="00F2539D">
        <w:t xml:space="preserve">imited to the </w:t>
      </w:r>
      <w:r w:rsidR="00DC10D1" w:rsidRPr="00F2539D">
        <w:t>F</w:t>
      </w:r>
      <w:r w:rsidRPr="00F2539D">
        <w:t xml:space="preserve">ollowing </w:t>
      </w:r>
      <w:r w:rsidR="00DC10D1" w:rsidRPr="00F2539D">
        <w:t>A</w:t>
      </w:r>
      <w:r w:rsidRPr="00F2539D">
        <w:t>reas:</w:t>
      </w:r>
    </w:p>
    <w:p w14:paraId="2C0CCE25" w14:textId="105EE47E" w:rsidR="00F3432E" w:rsidRPr="00F2539D" w:rsidRDefault="00D53551" w:rsidP="007307C8">
      <w:pPr>
        <w:pStyle w:val="ListBullet2"/>
      </w:pPr>
      <w:r w:rsidRPr="00F2539D">
        <w:t>postage</w:t>
      </w:r>
    </w:p>
    <w:p w14:paraId="024D2688" w14:textId="2370667B" w:rsidR="00F3432E" w:rsidRPr="00F2539D" w:rsidRDefault="00D53551" w:rsidP="007307C8">
      <w:pPr>
        <w:pStyle w:val="ListBullet2"/>
      </w:pPr>
      <w:r w:rsidRPr="00F2539D">
        <w:t xml:space="preserve">travel </w:t>
      </w:r>
    </w:p>
    <w:p w14:paraId="64CBCEA6" w14:textId="2A1832B5" w:rsidR="00F3432E" w:rsidRPr="00F2539D" w:rsidRDefault="00D53551" w:rsidP="007307C8">
      <w:pPr>
        <w:pStyle w:val="ListBullet2"/>
      </w:pPr>
      <w:r w:rsidRPr="00F2539D">
        <w:t xml:space="preserve">supplies </w:t>
      </w:r>
    </w:p>
    <w:p w14:paraId="79C3ACB1" w14:textId="73952066" w:rsidR="00B0341C" w:rsidRPr="00F2539D" w:rsidRDefault="00D53551" w:rsidP="007307C8">
      <w:pPr>
        <w:pStyle w:val="ListBullet2"/>
      </w:pPr>
      <w:r w:rsidRPr="00F2539D">
        <w:t>equipment purchase</w:t>
      </w:r>
      <w:r w:rsidR="00650B64">
        <w:t>s</w:t>
      </w:r>
    </w:p>
    <w:p w14:paraId="62C4F2D7" w14:textId="77777777" w:rsidR="00B0341C" w:rsidRPr="00F2539D" w:rsidRDefault="00B0341C" w:rsidP="00266D8D">
      <w:pPr>
        <w:pStyle w:val="Heading4"/>
      </w:pPr>
      <w:bookmarkStart w:id="155" w:name="_Toc346626475"/>
      <w:r w:rsidRPr="00F2539D">
        <w:t xml:space="preserve">Lost or </w:t>
      </w:r>
      <w:r w:rsidR="00EA0151">
        <w:t>S</w:t>
      </w:r>
      <w:r w:rsidR="00EA0151" w:rsidRPr="00F2539D">
        <w:t xml:space="preserve">tolen </w:t>
      </w:r>
      <w:r w:rsidR="00DC10D1" w:rsidRPr="00F2539D">
        <w:t>C</w:t>
      </w:r>
      <w:r w:rsidRPr="00F2539D">
        <w:t>ards</w:t>
      </w:r>
      <w:bookmarkEnd w:id="155"/>
    </w:p>
    <w:p w14:paraId="38A51BB7" w14:textId="7D5E222A" w:rsidR="00B0341C" w:rsidRPr="00F2539D" w:rsidRDefault="00B0341C" w:rsidP="00193F31">
      <w:pPr>
        <w:pStyle w:val="BodyText2"/>
      </w:pPr>
      <w:r w:rsidRPr="00F2539D">
        <w:t xml:space="preserve">If </w:t>
      </w:r>
      <w:r w:rsidR="008E569E" w:rsidRPr="00F2539D">
        <w:t xml:space="preserve">a debit or credit card is lost or stolen, the person designated with responsibility for the card must report the loss or theft to the </w:t>
      </w:r>
      <w:r w:rsidR="00DC10D1" w:rsidRPr="00F2539D">
        <w:t>e</w:t>
      </w:r>
      <w:r w:rsidR="008E569E" w:rsidRPr="00F2539D">
        <w:t xml:space="preserve">xecutive </w:t>
      </w:r>
      <w:r w:rsidR="00DC10D1" w:rsidRPr="00F2539D">
        <w:t>d</w:t>
      </w:r>
      <w:r w:rsidR="008E569E" w:rsidRPr="00F2539D">
        <w:t>irector immediately. T</w:t>
      </w:r>
      <w:r w:rsidRPr="00F2539D">
        <w:t xml:space="preserve">he </w:t>
      </w:r>
      <w:r w:rsidR="00DC10D1" w:rsidRPr="00F2539D">
        <w:t>e</w:t>
      </w:r>
      <w:r w:rsidRPr="00F2539D">
        <w:t xml:space="preserve">xecutive </w:t>
      </w:r>
      <w:r w:rsidR="00DC10D1" w:rsidRPr="00F2539D">
        <w:t>d</w:t>
      </w:r>
      <w:r w:rsidRPr="00F2539D">
        <w:t>irector will immediately contact the bank to cancel the card and</w:t>
      </w:r>
      <w:r w:rsidR="00053860">
        <w:t xml:space="preserve"> request </w:t>
      </w:r>
      <w:r w:rsidRPr="00F2539D">
        <w:t>a different card.</w:t>
      </w:r>
      <w:r w:rsidR="00DC10D1" w:rsidRPr="00F2539D">
        <w:t xml:space="preserve"> </w:t>
      </w:r>
      <w:r w:rsidRPr="00F2539D">
        <w:t xml:space="preserve">The </w:t>
      </w:r>
      <w:r w:rsidR="00DC10D1" w:rsidRPr="00F2539D">
        <w:t>e</w:t>
      </w:r>
      <w:r w:rsidRPr="00F2539D">
        <w:t xml:space="preserve">xecutive </w:t>
      </w:r>
      <w:r w:rsidR="00DC10D1" w:rsidRPr="00F2539D">
        <w:t>d</w:t>
      </w:r>
      <w:r w:rsidRPr="00F2539D">
        <w:t xml:space="preserve">irector will </w:t>
      </w:r>
      <w:r w:rsidR="002B22C3">
        <w:t xml:space="preserve">document the circumstances and when the bank was contacted, and </w:t>
      </w:r>
      <w:r w:rsidRPr="00F2539D">
        <w:t>determine if other steps are needed based upon the circumstances related to the lost or stolen card</w:t>
      </w:r>
      <w:r w:rsidR="00D53551" w:rsidRPr="00F2539D">
        <w:t>.</w:t>
      </w:r>
    </w:p>
    <w:p w14:paraId="31250DC1" w14:textId="77777777" w:rsidR="00485EB8" w:rsidRPr="00F2539D" w:rsidRDefault="00D53551" w:rsidP="00266D8D">
      <w:pPr>
        <w:pStyle w:val="Heading4"/>
      </w:pPr>
      <w:r w:rsidRPr="00F2539D">
        <w:t>Credit Card Codes and Passwords</w:t>
      </w:r>
    </w:p>
    <w:p w14:paraId="758D6985" w14:textId="77777777" w:rsidR="00485EB8" w:rsidRPr="00F2539D" w:rsidRDefault="00D53551" w:rsidP="00193F31">
      <w:pPr>
        <w:pStyle w:val="BodyText2"/>
      </w:pPr>
      <w:r w:rsidRPr="00F2539D">
        <w:t xml:space="preserve">No staff member is allowed to change the original code/password for the debit card that they utilize without permission from the </w:t>
      </w:r>
      <w:r w:rsidR="004B4935" w:rsidRPr="00F2539D">
        <w:t>e</w:t>
      </w:r>
      <w:r w:rsidRPr="00F2539D">
        <w:t xml:space="preserve">xecutive </w:t>
      </w:r>
      <w:r w:rsidR="004B4935" w:rsidRPr="00F2539D">
        <w:t>d</w:t>
      </w:r>
      <w:r w:rsidRPr="00F2539D">
        <w:t>irector.</w:t>
      </w:r>
    </w:p>
    <w:p w14:paraId="4D160D4D" w14:textId="77777777" w:rsidR="00485EB8" w:rsidRPr="00F2539D" w:rsidRDefault="00EA6101" w:rsidP="00266D8D">
      <w:pPr>
        <w:pStyle w:val="Heading4"/>
      </w:pPr>
      <w:r w:rsidRPr="00F2539D">
        <w:t>Misuse of Credit or Debit Cards</w:t>
      </w:r>
    </w:p>
    <w:p w14:paraId="620911B8" w14:textId="77777777" w:rsidR="00485EB8" w:rsidRPr="00F2539D" w:rsidRDefault="00EA6101" w:rsidP="00193F31">
      <w:pPr>
        <w:pStyle w:val="BodyText2"/>
      </w:pPr>
      <w:r w:rsidRPr="00F2539D">
        <w:t xml:space="preserve">If staff abuse or misuse a card, the </w:t>
      </w:r>
      <w:r w:rsidR="004B4935" w:rsidRPr="00F2539D">
        <w:t>e</w:t>
      </w:r>
      <w:r w:rsidRPr="00F2539D">
        <w:t xml:space="preserve">xecutive </w:t>
      </w:r>
      <w:r w:rsidR="004B4935" w:rsidRPr="00F2539D">
        <w:t>d</w:t>
      </w:r>
      <w:r w:rsidRPr="00F2539D">
        <w:t xml:space="preserve">irector will require the staff member to relinquish the card to the </w:t>
      </w:r>
      <w:r w:rsidR="004B4935" w:rsidRPr="00F2539D">
        <w:t>e</w:t>
      </w:r>
      <w:r w:rsidRPr="00F2539D">
        <w:t xml:space="preserve">xecutive </w:t>
      </w:r>
      <w:r w:rsidR="004B4935" w:rsidRPr="00F2539D">
        <w:t>d</w:t>
      </w:r>
      <w:r w:rsidRPr="00F2539D">
        <w:t xml:space="preserve">irector. The </w:t>
      </w:r>
      <w:r w:rsidR="004B4935" w:rsidRPr="00F2539D">
        <w:t>e</w:t>
      </w:r>
      <w:r w:rsidRPr="00F2539D">
        <w:t xml:space="preserve">xecutive </w:t>
      </w:r>
      <w:r w:rsidR="004B4935" w:rsidRPr="00F2539D">
        <w:t>d</w:t>
      </w:r>
      <w:r w:rsidRPr="00F2539D">
        <w:t>irector will determine if other steps are needed based upon the circumstances related to the misuse of the card, up to and including initiation of civil or criminal proceedings.</w:t>
      </w:r>
      <w:r w:rsidR="00782BEE">
        <w:t xml:space="preserve"> If the executive director abuses or misuses a card, the card must be relinquished to the board chair or treasurer. The board will determine if other steps are needed based upon the circumstances.</w:t>
      </w:r>
    </w:p>
    <w:p w14:paraId="10F9BC61" w14:textId="77777777" w:rsidR="003F0BD7" w:rsidRPr="00F2539D" w:rsidRDefault="00FB0A72" w:rsidP="00266D8D">
      <w:pPr>
        <w:pStyle w:val="Heading3"/>
      </w:pPr>
      <w:bookmarkStart w:id="156" w:name="_Toc346626476"/>
      <w:bookmarkStart w:id="157" w:name="_Toc347934431"/>
      <w:bookmarkStart w:id="158" w:name="_Toc352681831"/>
      <w:bookmarkStart w:id="159" w:name="_Toc352773493"/>
      <w:bookmarkStart w:id="160" w:name="_Toc352773593"/>
      <w:bookmarkStart w:id="161" w:name="_Toc448404222"/>
      <w:r w:rsidRPr="00F2539D">
        <w:lastRenderedPageBreak/>
        <w:t>Travel</w:t>
      </w:r>
      <w:bookmarkEnd w:id="156"/>
      <w:bookmarkEnd w:id="157"/>
      <w:bookmarkEnd w:id="158"/>
      <w:bookmarkEnd w:id="159"/>
      <w:bookmarkEnd w:id="160"/>
      <w:bookmarkEnd w:id="161"/>
    </w:p>
    <w:p w14:paraId="57BC845E" w14:textId="7B49D8FA" w:rsidR="00673CE2" w:rsidRPr="00F2539D" w:rsidRDefault="00594B58" w:rsidP="00E70003">
      <w:pPr>
        <w:pStyle w:val="BodyText"/>
      </w:pPr>
      <w:r w:rsidRPr="00F2539D">
        <w:t>T</w:t>
      </w:r>
      <w:r w:rsidR="00673CE2" w:rsidRPr="00F2539D">
        <w:t xml:space="preserve">ravel outside of the </w:t>
      </w:r>
      <w:r w:rsidRPr="00F2539D">
        <w:t>local area</w:t>
      </w:r>
      <w:r w:rsidR="00673CE2" w:rsidRPr="00F2539D">
        <w:t xml:space="preserve"> can be reimbursed to staff, </w:t>
      </w:r>
      <w:r w:rsidR="00275F99">
        <w:t xml:space="preserve">board, </w:t>
      </w:r>
      <w:r w:rsidR="00673CE2" w:rsidRPr="00F2539D">
        <w:t xml:space="preserve">volunteers, and consumers (if provided as part of </w:t>
      </w:r>
      <w:r w:rsidR="00905C17">
        <w:t xml:space="preserve">a </w:t>
      </w:r>
      <w:r w:rsidR="00673CE2" w:rsidRPr="00F2539D">
        <w:t>consumer</w:t>
      </w:r>
      <w:r w:rsidR="00275F99">
        <w:t xml:space="preserve">’s IL goals such as </w:t>
      </w:r>
      <w:r w:rsidR="00673CE2" w:rsidRPr="00F2539D">
        <w:t>education/community participation). This includes travel necessary for participation in state/regional committees or task force</w:t>
      </w:r>
      <w:r w:rsidRPr="00F2539D">
        <w:t>s</w:t>
      </w:r>
      <w:r w:rsidR="009A15F1" w:rsidRPr="00F2539D">
        <w:t>,</w:t>
      </w:r>
      <w:r w:rsidR="00673CE2" w:rsidRPr="00F2539D">
        <w:t xml:space="preserve"> attending workshops, conferences or other trainings, advocacy, development </w:t>
      </w:r>
      <w:r w:rsidR="005314E8" w:rsidRPr="00F2539D">
        <w:t>and</w:t>
      </w:r>
      <w:r w:rsidR="005314E8">
        <w:t>/</w:t>
      </w:r>
      <w:r w:rsidR="00673CE2" w:rsidRPr="00F2539D">
        <w:t>or networking activities.</w:t>
      </w:r>
      <w:r w:rsidR="009A76DD">
        <w:rPr>
          <w:rStyle w:val="FootnoteReference"/>
        </w:rPr>
        <w:footnoteReference w:id="21"/>
      </w:r>
    </w:p>
    <w:p w14:paraId="762EEDA6" w14:textId="77777777" w:rsidR="00673CE2" w:rsidRPr="00F2539D" w:rsidRDefault="00181D59" w:rsidP="00266D8D">
      <w:pPr>
        <w:pStyle w:val="Heading4"/>
      </w:pPr>
      <w:bookmarkStart w:id="162" w:name="_Toc346626477"/>
      <w:r w:rsidRPr="00F2539D">
        <w:t xml:space="preserve">Pre-Approval of </w:t>
      </w:r>
      <w:bookmarkEnd w:id="162"/>
      <w:r w:rsidRPr="00F2539D">
        <w:t>Travel</w:t>
      </w:r>
    </w:p>
    <w:p w14:paraId="016001E7" w14:textId="77777777" w:rsidR="00673CE2" w:rsidRPr="00F2539D" w:rsidRDefault="00673CE2" w:rsidP="00483F8A">
      <w:pPr>
        <w:pStyle w:val="BodyText2"/>
      </w:pPr>
      <w:r w:rsidRPr="00F2539D">
        <w:t xml:space="preserve">All reimbursable travel must be </w:t>
      </w:r>
      <w:r w:rsidR="00275F99">
        <w:t>allowable, allocable</w:t>
      </w:r>
      <w:r w:rsidR="008221D0">
        <w:t>,</w:t>
      </w:r>
      <w:r w:rsidR="00275F99">
        <w:t xml:space="preserve"> reasonable</w:t>
      </w:r>
      <w:r w:rsidR="002B22C3">
        <w:t>, and necessary to achieve the purposes of the CIL and the involved funding sources,</w:t>
      </w:r>
      <w:r w:rsidR="00275F99">
        <w:t xml:space="preserve"> in </w:t>
      </w:r>
      <w:r w:rsidR="00275F99" w:rsidRPr="00275F99">
        <w:t xml:space="preserve">accordance with </w:t>
      </w:r>
      <w:r w:rsidR="00462E39" w:rsidRPr="00275F99">
        <w:t>federal cost principles</w:t>
      </w:r>
      <w:r w:rsidR="00462E39">
        <w:t xml:space="preserve"> and</w:t>
      </w:r>
      <w:r w:rsidR="00462E39" w:rsidRPr="00275F99">
        <w:t xml:space="preserve"> </w:t>
      </w:r>
      <w:r w:rsidR="00275F99" w:rsidRPr="00275F99">
        <w:t xml:space="preserve">the </w:t>
      </w:r>
      <w:r w:rsidR="008221D0">
        <w:t>CIL</w:t>
      </w:r>
      <w:r w:rsidR="00275F99" w:rsidRPr="00275F99">
        <w:t xml:space="preserve">’s approved budget and </w:t>
      </w:r>
      <w:r w:rsidR="00462E39">
        <w:t>written travel policies and procedures</w:t>
      </w:r>
      <w:r w:rsidR="002B22C3">
        <w:t>;</w:t>
      </w:r>
      <w:r w:rsidR="00462E39">
        <w:t xml:space="preserve"> </w:t>
      </w:r>
      <w:r w:rsidRPr="00F2539D">
        <w:t xml:space="preserve">and </w:t>
      </w:r>
      <w:r w:rsidR="00462E39">
        <w:t xml:space="preserve">must be </w:t>
      </w:r>
      <w:r w:rsidRPr="00F2539D">
        <w:t>pre-approved by the individual's immediate supervisor and</w:t>
      </w:r>
      <w:r w:rsidR="00E170FB" w:rsidRPr="00F2539D">
        <w:t>/</w:t>
      </w:r>
      <w:r w:rsidRPr="00F2539D">
        <w:t xml:space="preserve">or the </w:t>
      </w:r>
      <w:r w:rsidR="004B4935" w:rsidRPr="00F2539D">
        <w:t>e</w:t>
      </w:r>
      <w:r w:rsidR="00E100A6" w:rsidRPr="00F2539D">
        <w:t xml:space="preserve">xecutive </w:t>
      </w:r>
      <w:r w:rsidR="004B4935" w:rsidRPr="00F2539D">
        <w:t>d</w:t>
      </w:r>
      <w:r w:rsidR="00E100A6" w:rsidRPr="00F2539D">
        <w:t>irector</w:t>
      </w:r>
      <w:r w:rsidRPr="00F2539D">
        <w:t>.</w:t>
      </w:r>
      <w:r w:rsidR="00594B58" w:rsidRPr="00F2539D">
        <w:t xml:space="preserve"> </w:t>
      </w:r>
      <w:r w:rsidR="00594B58" w:rsidRPr="00544637">
        <w:t>The approving individual has authority about</w:t>
      </w:r>
      <w:r w:rsidRPr="00544637">
        <w:t xml:space="preserve"> the mode of travel that will be reimbursed</w:t>
      </w:r>
      <w:r w:rsidR="00D46B02">
        <w:t>,</w:t>
      </w:r>
      <w:r w:rsidRPr="00544637">
        <w:t xml:space="preserve"> and preference will always be given to the mode that is the most economic and efficient</w:t>
      </w:r>
      <w:r w:rsidR="00544637">
        <w:t xml:space="preserve"> (e.g.</w:t>
      </w:r>
      <w:r w:rsidR="006A1003">
        <w:t>,</w:t>
      </w:r>
      <w:r w:rsidR="00544637">
        <w:t xml:space="preserve"> coach rather than first class airfare)</w:t>
      </w:r>
      <w:r w:rsidRPr="00544637">
        <w:t>.</w:t>
      </w:r>
      <w:r w:rsidRPr="00F2539D">
        <w:t xml:space="preserve"> Any reasonable</w:t>
      </w:r>
      <w:r w:rsidR="00E170FB" w:rsidRPr="00F2539D">
        <w:t xml:space="preserve"> </w:t>
      </w:r>
      <w:r w:rsidRPr="00F2539D">
        <w:t>accommodation needs will be considered in this determination.</w:t>
      </w:r>
    </w:p>
    <w:p w14:paraId="5B35B37D" w14:textId="77777777" w:rsidR="00673CE2" w:rsidRPr="00F2539D" w:rsidRDefault="00BE47AA" w:rsidP="00266D8D">
      <w:pPr>
        <w:pStyle w:val="Heading4"/>
      </w:pPr>
      <w:bookmarkStart w:id="163" w:name="_Toc346626478"/>
      <w:r w:rsidRPr="00F2539D">
        <w:t>Reimbursement and Documentation</w:t>
      </w:r>
      <w:bookmarkEnd w:id="163"/>
    </w:p>
    <w:p w14:paraId="3633A192" w14:textId="77777777" w:rsidR="00D8032C" w:rsidRPr="00F2539D" w:rsidRDefault="00673CE2" w:rsidP="00483F8A">
      <w:pPr>
        <w:pStyle w:val="BodyText2"/>
      </w:pPr>
      <w:r w:rsidRPr="00F2539D">
        <w:t>Documentation</w:t>
      </w:r>
      <w:r w:rsidR="00594B58" w:rsidRPr="00F2539D">
        <w:t xml:space="preserve"> for the cost of and purpose for travel</w:t>
      </w:r>
      <w:r w:rsidRPr="00F2539D">
        <w:t xml:space="preserve"> must</w:t>
      </w:r>
      <w:r w:rsidR="00594B58" w:rsidRPr="00F2539D">
        <w:t xml:space="preserve"> </w:t>
      </w:r>
      <w:r w:rsidR="009A15F1" w:rsidRPr="00F2539D">
        <w:t xml:space="preserve">be </w:t>
      </w:r>
      <w:r w:rsidR="00594B58" w:rsidRPr="00F2539D">
        <w:t>submitted for reimbursement</w:t>
      </w:r>
      <w:r w:rsidRPr="00F2539D">
        <w:t>.</w:t>
      </w:r>
      <w:r w:rsidR="00594B58" w:rsidRPr="00F2539D">
        <w:t xml:space="preserve"> A travel reimbursement request with supporting documentation must be submitted within 30 days of travel</w:t>
      </w:r>
      <w:r w:rsidR="002660B3" w:rsidRPr="00F2539D">
        <w:t>.</w:t>
      </w:r>
    </w:p>
    <w:p w14:paraId="75CA3733" w14:textId="1F4E459F" w:rsidR="00A67859" w:rsidRDefault="00673CE2" w:rsidP="00483F8A">
      <w:pPr>
        <w:pStyle w:val="BodyText2"/>
      </w:pPr>
      <w:r w:rsidRPr="00F2539D">
        <w:t>Reimbursement</w:t>
      </w:r>
      <w:r w:rsidR="004A4969" w:rsidRPr="00F2539D">
        <w:t xml:space="preserve"> for approved business use of personal vehicles will be based on rates </w:t>
      </w:r>
      <w:r w:rsidR="005E0238" w:rsidRPr="00F2539D">
        <w:t>established by PE</w:t>
      </w:r>
      <w:r w:rsidR="00CA632F" w:rsidRPr="00F2539D">
        <w:t>NN</w:t>
      </w:r>
      <w:r w:rsidR="005E0238" w:rsidRPr="00F2539D">
        <w:t xml:space="preserve"> CIL </w:t>
      </w:r>
      <w:r w:rsidR="004A4969" w:rsidRPr="00F2539D">
        <w:t>that do not exceed the federal approved rate</w:t>
      </w:r>
      <w:r w:rsidR="006A1003">
        <w:t>.</w:t>
      </w:r>
    </w:p>
    <w:p w14:paraId="69B4A592" w14:textId="77777777" w:rsidR="00157235" w:rsidRPr="00F2539D" w:rsidRDefault="00BE47AA" w:rsidP="00266D8D">
      <w:pPr>
        <w:pStyle w:val="Heading4"/>
      </w:pPr>
      <w:bookmarkStart w:id="164" w:name="_Toc346626479"/>
      <w:r w:rsidRPr="00F2539D">
        <w:t>Per Diem</w:t>
      </w:r>
      <w:bookmarkEnd w:id="164"/>
    </w:p>
    <w:p w14:paraId="5240D098" w14:textId="18D1A2F4" w:rsidR="00A67859" w:rsidRDefault="004A4969" w:rsidP="00483F8A">
      <w:pPr>
        <w:pStyle w:val="BodyText2"/>
      </w:pPr>
      <w:r w:rsidRPr="00F2539D">
        <w:t xml:space="preserve">Meals for </w:t>
      </w:r>
      <w:r w:rsidR="00D46B02" w:rsidRPr="00F2539D">
        <w:t>out</w:t>
      </w:r>
      <w:r w:rsidR="00D46B02">
        <w:t>-</w:t>
      </w:r>
      <w:r w:rsidR="00D46B02" w:rsidRPr="00F2539D">
        <w:t>of</w:t>
      </w:r>
      <w:r w:rsidR="00D46B02">
        <w:t>-</w:t>
      </w:r>
      <w:r w:rsidRPr="00F2539D">
        <w:t>ar</w:t>
      </w:r>
      <w:r w:rsidRPr="00E70003">
        <w:t xml:space="preserve">ea travel will be reimbursed at rates that do not exceed the federal per diem rates </w:t>
      </w:r>
      <w:r w:rsidR="00D46B02">
        <w:t>that</w:t>
      </w:r>
      <w:r w:rsidR="00D46B02" w:rsidRPr="00E70003">
        <w:t xml:space="preserve"> </w:t>
      </w:r>
      <w:r w:rsidR="00142858" w:rsidRPr="00E70003">
        <w:t>are documented on the U</w:t>
      </w:r>
      <w:r w:rsidR="001F084B">
        <w:t>.</w:t>
      </w:r>
      <w:r w:rsidR="00142858" w:rsidRPr="00E70003">
        <w:t>S</w:t>
      </w:r>
      <w:r w:rsidR="001F084B">
        <w:t>.</w:t>
      </w:r>
      <w:r w:rsidR="00142858" w:rsidRPr="00E70003">
        <w:t xml:space="preserve"> General Services Administration Per Diem Rate Lookup Website </w:t>
      </w:r>
      <w:hyperlink r:id="rId14" w:history="1">
        <w:r w:rsidR="003E45DA" w:rsidRPr="00C50759">
          <w:rPr>
            <w:rStyle w:val="Hyperlink"/>
          </w:rPr>
          <w:t>http://www.gsa.gov/portal/category/100120</w:t>
        </w:r>
      </w:hyperlink>
      <w:r w:rsidR="00084A05">
        <w:rPr>
          <w:rStyle w:val="Hyperlink"/>
        </w:rPr>
        <w:t>.</w:t>
      </w:r>
      <w:r w:rsidR="003E45DA">
        <w:t xml:space="preserve"> </w:t>
      </w:r>
    </w:p>
    <w:p w14:paraId="1B8F290B" w14:textId="6A8E8D61" w:rsidR="00395BA7" w:rsidRPr="00395BA7" w:rsidRDefault="000D4523" w:rsidP="00483F8A">
      <w:pPr>
        <w:pStyle w:val="BodyText2"/>
      </w:pPr>
      <w:r w:rsidRPr="000D4523">
        <w:t>To receive Per Diem reimbursement for m</w:t>
      </w:r>
      <w:r w:rsidR="00347010">
        <w:t>eals associated with out-of-</w:t>
      </w:r>
      <w:r w:rsidRPr="000D4523">
        <w:t xml:space="preserve">area travel, travel must begin before or be inclusive of 7:00 am (for </w:t>
      </w:r>
      <w:r w:rsidR="00D46B02">
        <w:t>b</w:t>
      </w:r>
      <w:r w:rsidR="00D46B02" w:rsidRPr="000D4523">
        <w:t>reakfast</w:t>
      </w:r>
      <w:r w:rsidRPr="000D4523">
        <w:t xml:space="preserve">), 10:00 am </w:t>
      </w:r>
      <w:r w:rsidR="00084A05">
        <w:t>–</w:t>
      </w:r>
      <w:r w:rsidR="007823A2">
        <w:t xml:space="preserve"> </w:t>
      </w:r>
      <w:r w:rsidRPr="000D4523">
        <w:t xml:space="preserve">1:00pm (for </w:t>
      </w:r>
      <w:r w:rsidR="00D46B02">
        <w:t>l</w:t>
      </w:r>
      <w:r w:rsidR="00D46B02" w:rsidRPr="000D4523">
        <w:t>unch</w:t>
      </w:r>
      <w:r w:rsidRPr="000D4523">
        <w:t xml:space="preserve">) and/or end after 7:00 pm (for </w:t>
      </w:r>
      <w:r w:rsidR="00D46B02">
        <w:t>d</w:t>
      </w:r>
      <w:r w:rsidR="00D46B02" w:rsidRPr="000D4523">
        <w:t>inner</w:t>
      </w:r>
      <w:r w:rsidRPr="000D4523">
        <w:t>).</w:t>
      </w:r>
    </w:p>
    <w:p w14:paraId="5E264BF5" w14:textId="77777777" w:rsidR="00485EB8" w:rsidRDefault="00FB0A72" w:rsidP="000B2CF8">
      <w:pPr>
        <w:pStyle w:val="Heading2"/>
      </w:pPr>
      <w:bookmarkStart w:id="165" w:name="_Toc346626480"/>
      <w:bookmarkStart w:id="166" w:name="_Toc347934432"/>
      <w:bookmarkStart w:id="167" w:name="_Toc352681832"/>
      <w:bookmarkStart w:id="168" w:name="_Toc352773494"/>
      <w:bookmarkStart w:id="169" w:name="_Toc352773594"/>
      <w:bookmarkStart w:id="170" w:name="_Toc448404223"/>
      <w:r w:rsidRPr="00395BA7">
        <w:lastRenderedPageBreak/>
        <w:t>Accounting for Donated Services</w:t>
      </w:r>
      <w:bookmarkEnd w:id="165"/>
      <w:bookmarkEnd w:id="166"/>
      <w:bookmarkEnd w:id="167"/>
      <w:bookmarkEnd w:id="168"/>
      <w:bookmarkEnd w:id="169"/>
      <w:bookmarkEnd w:id="170"/>
    </w:p>
    <w:p w14:paraId="7E3CE259" w14:textId="1C33DB5F" w:rsidR="00485EB8" w:rsidRDefault="00F76178" w:rsidP="002660B3">
      <w:pPr>
        <w:pStyle w:val="BodyText"/>
      </w:pPr>
      <w:r w:rsidRPr="00E70003">
        <w:t>The objective of accounting for donated services is to comply with generally accepted accounting principles and with requirements for annual filings</w:t>
      </w:r>
      <w:r w:rsidR="0067448E">
        <w:t>. P</w:t>
      </w:r>
      <w:r w:rsidR="005E0238">
        <w:t>ENN</w:t>
      </w:r>
      <w:r w:rsidR="0067448E">
        <w:t xml:space="preserve"> CIL will also </w:t>
      </w:r>
      <w:r w:rsidRPr="00E70003">
        <w:t>track and document in-kind items</w:t>
      </w:r>
      <w:r w:rsidR="00050F26">
        <w:t xml:space="preserve"> that</w:t>
      </w:r>
      <w:r w:rsidRPr="00E70003">
        <w:t xml:space="preserve"> qualify for Grant Matching</w:t>
      </w:r>
      <w:r w:rsidR="00933B8F" w:rsidRPr="00E70003">
        <w:t>.</w:t>
      </w:r>
      <w:r w:rsidR="0067448E">
        <w:rPr>
          <w:rStyle w:val="FootnoteReference"/>
        </w:rPr>
        <w:footnoteReference w:id="22"/>
      </w:r>
    </w:p>
    <w:p w14:paraId="00C46334" w14:textId="4F9F25BD" w:rsidR="00157235" w:rsidRPr="00E70003" w:rsidRDefault="00157235" w:rsidP="00E70003">
      <w:pPr>
        <w:pStyle w:val="BodyText"/>
      </w:pPr>
      <w:r w:rsidRPr="00E70003">
        <w:t xml:space="preserve">Fair value will be determined at the date of the gift. Services </w:t>
      </w:r>
      <w:r w:rsidR="00F55210">
        <w:t xml:space="preserve">will </w:t>
      </w:r>
      <w:r w:rsidRPr="00E70003">
        <w:t>only be</w:t>
      </w:r>
      <w:r w:rsidR="00ED10E0">
        <w:t xml:space="preserve"> recorded </w:t>
      </w:r>
      <w:r w:rsidRPr="00E70003">
        <w:t>as donations if:</w:t>
      </w:r>
    </w:p>
    <w:p w14:paraId="091E608A" w14:textId="302A77E4" w:rsidR="00157235" w:rsidRPr="00E70003" w:rsidRDefault="00A403BF" w:rsidP="00C4593B">
      <w:pPr>
        <w:pStyle w:val="ListBullet"/>
      </w:pPr>
      <w:r>
        <w:t>S</w:t>
      </w:r>
      <w:r w:rsidR="000D4523">
        <w:t xml:space="preserve">ervices </w:t>
      </w:r>
      <w:r w:rsidR="00933B8F" w:rsidRPr="00E70003">
        <w:t xml:space="preserve">are performed as part of </w:t>
      </w:r>
      <w:r w:rsidR="00594B58" w:rsidRPr="00E70003">
        <w:t>PENN CIL’</w:t>
      </w:r>
      <w:r w:rsidR="00157235" w:rsidRPr="00E70003">
        <w:t xml:space="preserve">s programs </w:t>
      </w:r>
      <w:r w:rsidR="00594B58" w:rsidRPr="00E70003">
        <w:t xml:space="preserve">or </w:t>
      </w:r>
      <w:r w:rsidR="00157235" w:rsidRPr="00E70003">
        <w:t>services, and would otherwise be performed by</w:t>
      </w:r>
      <w:r w:rsidR="00050F26">
        <w:t xml:space="preserve"> paid </w:t>
      </w:r>
      <w:r w:rsidR="00157235" w:rsidRPr="00E70003">
        <w:t>personnel</w:t>
      </w:r>
      <w:r>
        <w:t>.</w:t>
      </w:r>
    </w:p>
    <w:p w14:paraId="6D6A4CC6" w14:textId="6FBDD8FC" w:rsidR="00157235" w:rsidRPr="00E70003" w:rsidRDefault="00933B8F" w:rsidP="00C4593B">
      <w:pPr>
        <w:pStyle w:val="ListBullet"/>
      </w:pPr>
      <w:r w:rsidRPr="00E70003">
        <w:t xml:space="preserve">PENN CIL has </w:t>
      </w:r>
      <w:r w:rsidR="00157235" w:rsidRPr="00E70003">
        <w:t>control over the</w:t>
      </w:r>
      <w:r w:rsidR="00050F26">
        <w:t xml:space="preserve"> activities </w:t>
      </w:r>
      <w:r w:rsidR="00157235" w:rsidRPr="00E70003">
        <w:t>of the donors of the services</w:t>
      </w:r>
      <w:r w:rsidR="00A403BF">
        <w:t>.</w:t>
      </w:r>
    </w:p>
    <w:p w14:paraId="60CB1A54" w14:textId="0445764C" w:rsidR="0052555E" w:rsidRPr="00E70003" w:rsidRDefault="00594B58" w:rsidP="002257BB">
      <w:pPr>
        <w:pStyle w:val="ListBullet"/>
      </w:pPr>
      <w:r w:rsidRPr="00E70003">
        <w:t xml:space="preserve">PENN CIL </w:t>
      </w:r>
      <w:r w:rsidR="00157235" w:rsidRPr="00E70003">
        <w:t>has a clearly measurable basis for the amount claimed</w:t>
      </w:r>
      <w:r w:rsidRPr="00E70003">
        <w:t>.</w:t>
      </w:r>
      <w:r w:rsidR="002257BB" w:rsidDel="002257BB">
        <w:t xml:space="preserve"> </w:t>
      </w:r>
      <w:r w:rsidR="00F76178" w:rsidRPr="00E70003">
        <w:t xml:space="preserve">The following in-kind items </w:t>
      </w:r>
      <w:r w:rsidR="0067448E">
        <w:t xml:space="preserve">will be </w:t>
      </w:r>
      <w:r w:rsidR="00F76178" w:rsidRPr="00E70003">
        <w:t>recorded in the accounting system</w:t>
      </w:r>
      <w:r w:rsidR="00557658" w:rsidRPr="00E70003">
        <w:t>:</w:t>
      </w:r>
    </w:p>
    <w:p w14:paraId="6ABDDFE1" w14:textId="5A44FB29" w:rsidR="00F76178" w:rsidRPr="00E70003" w:rsidRDefault="00835546" w:rsidP="00835546">
      <w:pPr>
        <w:pStyle w:val="ListBullet2"/>
      </w:pPr>
      <w:r>
        <w:t>I</w:t>
      </w:r>
      <w:r w:rsidR="00F76178" w:rsidRPr="00E70003">
        <w:t xml:space="preserve">tems intended to be used or controlled by the </w:t>
      </w:r>
      <w:r w:rsidR="00A953C8">
        <w:t>CIL</w:t>
      </w:r>
      <w:r w:rsidR="00F76178" w:rsidRPr="00E70003">
        <w:t xml:space="preserve"> (for example</w:t>
      </w:r>
      <w:r w:rsidR="002660B3">
        <w:t>:</w:t>
      </w:r>
      <w:r w:rsidR="00557658" w:rsidRPr="00E70003">
        <w:t xml:space="preserve"> </w:t>
      </w:r>
      <w:r w:rsidR="00F76178" w:rsidRPr="00E70003">
        <w:t xml:space="preserve">a computer or copier that would be used by the </w:t>
      </w:r>
      <w:r w:rsidR="00A953C8">
        <w:t>CIL</w:t>
      </w:r>
      <w:r w:rsidR="007A07E0">
        <w:t>;</w:t>
      </w:r>
      <w:r w:rsidR="00F76178" w:rsidRPr="00E70003">
        <w:t xml:space="preserve"> or adaptive equipment</w:t>
      </w:r>
      <w:r w:rsidR="002660B3">
        <w:t>,</w:t>
      </w:r>
      <w:r w:rsidR="00F76178" w:rsidRPr="00E70003">
        <w:t xml:space="preserve"> </w:t>
      </w:r>
      <w:r w:rsidR="000D4523">
        <w:t xml:space="preserve">the use of which </w:t>
      </w:r>
      <w:r w:rsidR="00F76178" w:rsidRPr="00E70003">
        <w:t xml:space="preserve">the </w:t>
      </w:r>
      <w:r w:rsidR="00A953C8">
        <w:t>CIL</w:t>
      </w:r>
      <w:r w:rsidR="00F76178" w:rsidRPr="00E70003">
        <w:t xml:space="preserve"> overse</w:t>
      </w:r>
      <w:r w:rsidR="002660B3">
        <w:t>e</w:t>
      </w:r>
      <w:r w:rsidR="00F76178" w:rsidRPr="00E70003">
        <w:t>s</w:t>
      </w:r>
      <w:r w:rsidR="007A07E0">
        <w:t>)</w:t>
      </w:r>
      <w:r>
        <w:t>.</w:t>
      </w:r>
    </w:p>
    <w:p w14:paraId="1142B300" w14:textId="23643AC6" w:rsidR="00F76178" w:rsidRPr="00E70003" w:rsidRDefault="00835546" w:rsidP="00835546">
      <w:pPr>
        <w:pStyle w:val="ListBullet2"/>
      </w:pPr>
      <w:r>
        <w:t>D</w:t>
      </w:r>
      <w:r w:rsidR="00F76178" w:rsidRPr="00E70003">
        <w:t>onated use of items or facilities, such as real estate</w:t>
      </w:r>
      <w:r>
        <w:t>.</w:t>
      </w:r>
    </w:p>
    <w:p w14:paraId="46D9CEEE" w14:textId="408ADA7B" w:rsidR="005A035D" w:rsidRDefault="00835546" w:rsidP="00835546">
      <w:pPr>
        <w:pStyle w:val="ListBullet2"/>
      </w:pPr>
      <w:r>
        <w:t>D</w:t>
      </w:r>
      <w:r w:rsidR="009341DF" w:rsidRPr="00E70003">
        <w:t xml:space="preserve">onated services that are key to the </w:t>
      </w:r>
      <w:r w:rsidR="00A953C8">
        <w:t>CIL</w:t>
      </w:r>
      <w:r w:rsidR="009341DF" w:rsidRPr="00E70003">
        <w:t xml:space="preserve">’s operations, programs or services and have </w:t>
      </w:r>
      <w:r w:rsidR="00557658" w:rsidRPr="00E70003">
        <w:t xml:space="preserve">been </w:t>
      </w:r>
      <w:r w:rsidR="009341DF" w:rsidRPr="00E70003">
        <w:t>performed by specialists (such as review of contracts by an attorney).</w:t>
      </w:r>
      <w:bookmarkStart w:id="171" w:name="_Toc346626482"/>
      <w:bookmarkStart w:id="172" w:name="_Toc347934434"/>
    </w:p>
    <w:p w14:paraId="2CE468B0" w14:textId="77777777" w:rsidR="00485EB8" w:rsidRDefault="00FB0A72" w:rsidP="000B2CF8">
      <w:pPr>
        <w:pStyle w:val="Heading2"/>
      </w:pPr>
      <w:bookmarkStart w:id="173" w:name="_Toc352681833"/>
      <w:bookmarkStart w:id="174" w:name="_Toc352773495"/>
      <w:bookmarkStart w:id="175" w:name="_Toc352773595"/>
      <w:bookmarkStart w:id="176" w:name="_Toc448404224"/>
      <w:r w:rsidRPr="00E70003">
        <w:t>Financial Reports</w:t>
      </w:r>
      <w:bookmarkEnd w:id="171"/>
      <w:bookmarkEnd w:id="172"/>
      <w:bookmarkEnd w:id="173"/>
      <w:bookmarkEnd w:id="174"/>
      <w:bookmarkEnd w:id="175"/>
      <w:bookmarkEnd w:id="176"/>
    </w:p>
    <w:p w14:paraId="5190F4D0" w14:textId="2477865D" w:rsidR="00D769CD" w:rsidRPr="00D308EE" w:rsidRDefault="00393DAA" w:rsidP="00D308EE">
      <w:pPr>
        <w:pStyle w:val="BodyText"/>
      </w:pPr>
      <w:r>
        <w:t>All expenditures are to be incurred and paid in accordance with a budget approved by the board of directors</w:t>
      </w:r>
      <w:r w:rsidRPr="00D308EE">
        <w:t>.</w:t>
      </w:r>
      <w:r w:rsidR="008221D0">
        <w:rPr>
          <w:rStyle w:val="FootnoteReference"/>
        </w:rPr>
        <w:footnoteReference w:id="23"/>
      </w:r>
      <w:r w:rsidR="007823A2">
        <w:t xml:space="preserve"> </w:t>
      </w:r>
    </w:p>
    <w:p w14:paraId="1FE24E0A" w14:textId="77777777" w:rsidR="00157235" w:rsidRPr="00E70003" w:rsidRDefault="00AA6E20" w:rsidP="00E70003">
      <w:pPr>
        <w:pStyle w:val="BodyText"/>
      </w:pPr>
      <w:r w:rsidRPr="00E70003">
        <w:t>The following financial statements are prepared</w:t>
      </w:r>
      <w:r w:rsidR="00157235" w:rsidRPr="00E70003">
        <w:t>:</w:t>
      </w:r>
    </w:p>
    <w:p w14:paraId="47D88968" w14:textId="77777777" w:rsidR="00A67859" w:rsidRDefault="00157235" w:rsidP="00266D8D">
      <w:pPr>
        <w:pStyle w:val="Heading3"/>
      </w:pPr>
      <w:bookmarkStart w:id="177" w:name="_Toc346626483"/>
      <w:bookmarkStart w:id="178" w:name="_Toc347934435"/>
      <w:bookmarkStart w:id="179" w:name="_Toc352681834"/>
      <w:bookmarkStart w:id="180" w:name="_Toc352773496"/>
      <w:bookmarkStart w:id="181" w:name="_Toc352773596"/>
      <w:bookmarkStart w:id="182" w:name="_Toc448404225"/>
      <w:r w:rsidRPr="00E70003">
        <w:t>Balance Sheet</w:t>
      </w:r>
      <w:bookmarkEnd w:id="177"/>
      <w:bookmarkEnd w:id="178"/>
      <w:bookmarkEnd w:id="179"/>
      <w:bookmarkEnd w:id="180"/>
      <w:bookmarkEnd w:id="181"/>
      <w:bookmarkEnd w:id="182"/>
    </w:p>
    <w:p w14:paraId="591C4853" w14:textId="77777777" w:rsidR="00485EB8" w:rsidRDefault="0067448E" w:rsidP="002660B3">
      <w:pPr>
        <w:pStyle w:val="ListBullet"/>
      </w:pPr>
      <w:r>
        <w:t>A</w:t>
      </w:r>
      <w:r w:rsidR="00157235" w:rsidRPr="00E70003">
        <w:t>ssets (what we have)</w:t>
      </w:r>
    </w:p>
    <w:p w14:paraId="2D0F876C" w14:textId="77777777" w:rsidR="00485EB8" w:rsidRDefault="0067448E" w:rsidP="002660B3">
      <w:pPr>
        <w:pStyle w:val="ListBullet"/>
      </w:pPr>
      <w:r>
        <w:t>L</w:t>
      </w:r>
      <w:r w:rsidR="001D1B66" w:rsidRPr="00E70003">
        <w:t xml:space="preserve">iabilities </w:t>
      </w:r>
      <w:r w:rsidR="00157235" w:rsidRPr="00E70003">
        <w:t>(what we owe)</w:t>
      </w:r>
    </w:p>
    <w:p w14:paraId="47CB09F5" w14:textId="77777777" w:rsidR="00485EB8" w:rsidRDefault="0067448E" w:rsidP="002660B3">
      <w:pPr>
        <w:pStyle w:val="ListBullet"/>
      </w:pPr>
      <w:r>
        <w:t>N</w:t>
      </w:r>
      <w:r w:rsidR="001D1B66" w:rsidRPr="00E70003">
        <w:t xml:space="preserve">et assets </w:t>
      </w:r>
      <w:r w:rsidR="00157235" w:rsidRPr="00E70003">
        <w:t>(what's left)</w:t>
      </w:r>
    </w:p>
    <w:p w14:paraId="5349E008" w14:textId="77777777" w:rsidR="00A67859" w:rsidRDefault="0072745C" w:rsidP="00E70003">
      <w:pPr>
        <w:pStyle w:val="BodyText"/>
      </w:pPr>
      <w:r>
        <w:t xml:space="preserve">The balance sheet is created as of </w:t>
      </w:r>
      <w:r w:rsidR="004A719B" w:rsidRPr="00E70003">
        <w:t xml:space="preserve">a particular point </w:t>
      </w:r>
      <w:r>
        <w:t>in</w:t>
      </w:r>
      <w:r w:rsidR="004A719B" w:rsidRPr="00E70003">
        <w:t xml:space="preserve"> time, such as month-end</w:t>
      </w:r>
      <w:r w:rsidR="00157235" w:rsidRPr="00E70003">
        <w:t>.</w:t>
      </w:r>
    </w:p>
    <w:p w14:paraId="54247F8D" w14:textId="77777777" w:rsidR="00157235" w:rsidRPr="00E70003" w:rsidRDefault="001D1B66" w:rsidP="00E70003">
      <w:pPr>
        <w:pStyle w:val="BodyText"/>
      </w:pPr>
      <w:r w:rsidRPr="00E70003">
        <w:t xml:space="preserve">Net assets </w:t>
      </w:r>
      <w:r w:rsidR="0072745C">
        <w:t xml:space="preserve">will </w:t>
      </w:r>
      <w:r w:rsidR="00157235" w:rsidRPr="00E70003">
        <w:t>be</w:t>
      </w:r>
      <w:r w:rsidR="004A719B" w:rsidRPr="00E70003">
        <w:t xml:space="preserve"> classified </w:t>
      </w:r>
      <w:r w:rsidR="0072745C">
        <w:t xml:space="preserve">as </w:t>
      </w:r>
      <w:r w:rsidR="00157235" w:rsidRPr="00E70003">
        <w:t>restricted</w:t>
      </w:r>
      <w:r w:rsidR="004A719B" w:rsidRPr="00E70003">
        <w:t xml:space="preserve"> by donors</w:t>
      </w:r>
      <w:r w:rsidR="0072745C">
        <w:t>,</w:t>
      </w:r>
      <w:r w:rsidR="004A719B" w:rsidRPr="00E70003">
        <w:t xml:space="preserve"> designated by the board</w:t>
      </w:r>
      <w:r w:rsidR="00157235" w:rsidRPr="00E70003">
        <w:t xml:space="preserve"> for use in certain areas</w:t>
      </w:r>
      <w:r w:rsidR="004A719B" w:rsidRPr="00E70003">
        <w:t>,</w:t>
      </w:r>
      <w:r w:rsidR="00157235" w:rsidRPr="00E70003">
        <w:t xml:space="preserve"> or </w:t>
      </w:r>
      <w:r w:rsidR="0072745C">
        <w:t xml:space="preserve">as available for </w:t>
      </w:r>
      <w:r w:rsidR="00157235" w:rsidRPr="00E70003">
        <w:t>use where needed.</w:t>
      </w:r>
    </w:p>
    <w:p w14:paraId="173E2C9A" w14:textId="77777777" w:rsidR="00485EB8" w:rsidRDefault="00157235" w:rsidP="00266D8D">
      <w:pPr>
        <w:pStyle w:val="Heading3"/>
      </w:pPr>
      <w:bookmarkStart w:id="183" w:name="_Toc346626484"/>
      <w:bookmarkStart w:id="184" w:name="_Toc347934436"/>
      <w:bookmarkStart w:id="185" w:name="_Toc352681835"/>
      <w:bookmarkStart w:id="186" w:name="_Toc352773497"/>
      <w:bookmarkStart w:id="187" w:name="_Toc352773597"/>
      <w:bookmarkStart w:id="188" w:name="_Toc448404226"/>
      <w:r w:rsidRPr="00E70003">
        <w:lastRenderedPageBreak/>
        <w:t>Statement of</w:t>
      </w:r>
      <w:r w:rsidR="004A719B" w:rsidRPr="00E70003">
        <w:t xml:space="preserve"> Income and Expenses and Budget Comparisons</w:t>
      </w:r>
      <w:bookmarkEnd w:id="183"/>
      <w:bookmarkEnd w:id="184"/>
      <w:bookmarkEnd w:id="185"/>
      <w:bookmarkEnd w:id="186"/>
      <w:bookmarkEnd w:id="187"/>
      <w:bookmarkEnd w:id="188"/>
    </w:p>
    <w:p w14:paraId="4741C465" w14:textId="77777777" w:rsidR="00485EB8" w:rsidRDefault="004A719B" w:rsidP="002660B3">
      <w:pPr>
        <w:pStyle w:val="BodyText"/>
      </w:pPr>
      <w:r w:rsidRPr="00E70003">
        <w:t xml:space="preserve">These statements report contributions received </w:t>
      </w:r>
      <w:r w:rsidR="0072745C">
        <w:t xml:space="preserve">and </w:t>
      </w:r>
      <w:r w:rsidRPr="00E70003">
        <w:t>income earned</w:t>
      </w:r>
      <w:r w:rsidR="0072745C">
        <w:t>,</w:t>
      </w:r>
      <w:r w:rsidRPr="00E70003">
        <w:t xml:space="preserve"> as well as expenses for payroll </w:t>
      </w:r>
      <w:r w:rsidR="00983E04">
        <w:t xml:space="preserve">and </w:t>
      </w:r>
      <w:r w:rsidR="0072745C">
        <w:t xml:space="preserve">for </w:t>
      </w:r>
      <w:r w:rsidRPr="00E70003">
        <w:t>products and services received</w:t>
      </w:r>
      <w:r w:rsidR="00157235" w:rsidRPr="00E70003">
        <w:t>.</w:t>
      </w:r>
      <w:r w:rsidRPr="00E70003">
        <w:t xml:space="preserve"> Reports </w:t>
      </w:r>
      <w:r w:rsidR="0072745C">
        <w:t xml:space="preserve">will be generated </w:t>
      </w:r>
      <w:r w:rsidRPr="00E70003">
        <w:t>for a period of time s</w:t>
      </w:r>
      <w:r w:rsidR="00933B8F" w:rsidRPr="00E70003">
        <w:t>uch as a month and/or year-to-date</w:t>
      </w:r>
      <w:r w:rsidRPr="00E70003">
        <w:t xml:space="preserve"> and may be compared to the prior year, and/or to budgeted amounts.</w:t>
      </w:r>
    </w:p>
    <w:p w14:paraId="4118363A" w14:textId="77777777" w:rsidR="00485EB8" w:rsidRDefault="00FB0A72" w:rsidP="00266D8D">
      <w:pPr>
        <w:pStyle w:val="Heading3"/>
      </w:pPr>
      <w:bookmarkStart w:id="189" w:name="_Toc346626485"/>
      <w:bookmarkStart w:id="190" w:name="_Toc347934437"/>
      <w:bookmarkStart w:id="191" w:name="_Toc352681836"/>
      <w:bookmarkStart w:id="192" w:name="_Toc352773498"/>
      <w:bookmarkStart w:id="193" w:name="_Toc352773598"/>
      <w:bookmarkStart w:id="194" w:name="_Toc448404227"/>
      <w:r w:rsidRPr="00E70003">
        <w:t>Other Financial Reports</w:t>
      </w:r>
      <w:bookmarkEnd w:id="189"/>
      <w:bookmarkEnd w:id="190"/>
      <w:bookmarkEnd w:id="191"/>
      <w:bookmarkEnd w:id="192"/>
      <w:bookmarkEnd w:id="193"/>
      <w:bookmarkEnd w:id="194"/>
    </w:p>
    <w:p w14:paraId="68067F58" w14:textId="77BA8790" w:rsidR="00485EB8" w:rsidRDefault="00397D3E" w:rsidP="002660B3">
      <w:pPr>
        <w:pStyle w:val="BodyText"/>
      </w:pPr>
      <w:r>
        <w:t xml:space="preserve">Quarterly, a Federal Fiscal Report (FFR) must be submitted to the Grant Solutions before the next quarter’s Part C funds can be drawn. </w:t>
      </w:r>
      <w:r w:rsidR="00650B64">
        <w:t>An accurate form SF-4</w:t>
      </w:r>
      <w:r w:rsidR="00E16D80">
        <w:t xml:space="preserve">25 </w:t>
      </w:r>
      <w:r w:rsidR="00650B64">
        <w:t>will be submitted to ACL by December 31 each year</w:t>
      </w:r>
      <w:r w:rsidR="007D035E">
        <w:t xml:space="preserve">. </w:t>
      </w:r>
      <w:r w:rsidR="00FB0A72" w:rsidRPr="00E70003">
        <w:t>Other financial reports will be prepared for review as requested by the Board of Directors</w:t>
      </w:r>
      <w:r w:rsidR="00ED10E0">
        <w:t>, or its finance or audit committee</w:t>
      </w:r>
      <w:r w:rsidR="00FB0A72" w:rsidRPr="00E70003">
        <w:t xml:space="preserve"> including:</w:t>
      </w:r>
    </w:p>
    <w:p w14:paraId="5C503DAA" w14:textId="69AB0E9A" w:rsidR="00FB0A72" w:rsidRDefault="00A403BF" w:rsidP="00C4593B">
      <w:pPr>
        <w:pStyle w:val="ListBullet"/>
      </w:pPr>
      <w:r>
        <w:t>C</w:t>
      </w:r>
      <w:r w:rsidR="00FB0A72" w:rsidRPr="00E70003">
        <w:t>ash flow report</w:t>
      </w:r>
    </w:p>
    <w:p w14:paraId="0D5A95C7" w14:textId="625C27E6" w:rsidR="00B57FE6" w:rsidRPr="00E70003" w:rsidRDefault="00A403BF" w:rsidP="00C4593B">
      <w:pPr>
        <w:pStyle w:val="ListBullet"/>
      </w:pPr>
      <w:r>
        <w:t>S</w:t>
      </w:r>
      <w:r w:rsidR="00B57FE6">
        <w:t>tatement comparing budget to actual for the period and Year to Date</w:t>
      </w:r>
    </w:p>
    <w:p w14:paraId="67309FCC" w14:textId="0473895C" w:rsidR="00FB0A72" w:rsidRPr="00E70003" w:rsidRDefault="00A403BF" w:rsidP="00C4593B">
      <w:pPr>
        <w:pStyle w:val="ListBullet"/>
      </w:pPr>
      <w:r>
        <w:t>D</w:t>
      </w:r>
      <w:r w:rsidR="00FB0A72" w:rsidRPr="00E70003">
        <w:t>ashboard report (key asset and operating results)</w:t>
      </w:r>
    </w:p>
    <w:p w14:paraId="4F6F5144" w14:textId="5F6949FD" w:rsidR="00CE0277" w:rsidRPr="0096699C" w:rsidRDefault="00A403BF" w:rsidP="00C4593B">
      <w:pPr>
        <w:pStyle w:val="ListBullet"/>
      </w:pPr>
      <w:r>
        <w:t>C</w:t>
      </w:r>
      <w:r w:rsidR="00FB0A72" w:rsidRPr="00E70003">
        <w:t>ash flow forecast</w:t>
      </w:r>
    </w:p>
    <w:p w14:paraId="7C8D76B7" w14:textId="65485842" w:rsidR="00FB579F" w:rsidRPr="00CA632F" w:rsidRDefault="00A403BF" w:rsidP="00C4593B">
      <w:pPr>
        <w:pStyle w:val="ListBullet"/>
      </w:pPr>
      <w:r>
        <w:t>A</w:t>
      </w:r>
      <w:r w:rsidR="00FB579F">
        <w:t>n aging of accounts payable</w:t>
      </w:r>
      <w:r w:rsidR="00E73C76">
        <w:rPr>
          <w:rStyle w:val="FootnoteReference"/>
        </w:rPr>
        <w:footnoteReference w:id="24"/>
      </w:r>
    </w:p>
    <w:p w14:paraId="5A104297" w14:textId="70B92627" w:rsidR="00CA632F" w:rsidRDefault="00A403BF" w:rsidP="00C4593B">
      <w:pPr>
        <w:pStyle w:val="ListBullet"/>
      </w:pPr>
      <w:r>
        <w:t>A</w:t>
      </w:r>
      <w:r w:rsidR="00CA632F">
        <w:t>n aging of accounts receivable</w:t>
      </w:r>
      <w:r w:rsidR="00E73C76">
        <w:rPr>
          <w:rStyle w:val="FootnoteReference"/>
        </w:rPr>
        <w:footnoteReference w:id="25"/>
      </w:r>
    </w:p>
    <w:p w14:paraId="3CD77B4A" w14:textId="77777777" w:rsidR="00485EB8" w:rsidRDefault="00696E13" w:rsidP="000B2CF8">
      <w:pPr>
        <w:pStyle w:val="Heading2"/>
      </w:pPr>
      <w:bookmarkStart w:id="195" w:name="_Toc346626486"/>
      <w:bookmarkStart w:id="196" w:name="_Toc347934438"/>
      <w:bookmarkStart w:id="197" w:name="_Toc352681837"/>
      <w:bookmarkStart w:id="198" w:name="_Toc352773499"/>
      <w:bookmarkStart w:id="199" w:name="_Toc352773599"/>
      <w:bookmarkStart w:id="200" w:name="_Toc448404228"/>
      <w:bookmarkEnd w:id="8"/>
      <w:r w:rsidRPr="0072745C">
        <w:t xml:space="preserve">Information </w:t>
      </w:r>
      <w:r w:rsidR="00E42816" w:rsidRPr="0072745C">
        <w:t>Technology Controls</w:t>
      </w:r>
      <w:bookmarkEnd w:id="195"/>
      <w:bookmarkEnd w:id="196"/>
      <w:bookmarkEnd w:id="197"/>
      <w:bookmarkEnd w:id="198"/>
      <w:bookmarkEnd w:id="199"/>
      <w:bookmarkEnd w:id="200"/>
    </w:p>
    <w:p w14:paraId="31A196F5" w14:textId="77777777" w:rsidR="00A67859" w:rsidRDefault="0072745C" w:rsidP="00E70003">
      <w:pPr>
        <w:pStyle w:val="BodyText"/>
      </w:pPr>
      <w:r>
        <w:t xml:space="preserve">Information technology controls are created to </w:t>
      </w:r>
      <w:r w:rsidR="00696E13" w:rsidRPr="00E70003">
        <w:t>protect confidential information</w:t>
      </w:r>
      <w:r w:rsidR="001F365D" w:rsidRPr="00E70003">
        <w:t>,</w:t>
      </w:r>
      <w:r w:rsidR="00696E13" w:rsidRPr="00E70003">
        <w:t xml:space="preserve"> preserve financial data, </w:t>
      </w:r>
      <w:r w:rsidR="001F365D" w:rsidRPr="00E70003">
        <w:t>and operate efficiently</w:t>
      </w:r>
      <w:r>
        <w:t>.</w:t>
      </w:r>
    </w:p>
    <w:p w14:paraId="1F28FD03" w14:textId="147732E4" w:rsidR="00A67859" w:rsidRDefault="001F365D" w:rsidP="00E70003">
      <w:pPr>
        <w:pStyle w:val="BodyText"/>
      </w:pPr>
      <w:r w:rsidRPr="00E70003">
        <w:t>T</w:t>
      </w:r>
      <w:r w:rsidR="00696E13" w:rsidRPr="00E70003">
        <w:t xml:space="preserve">he </w:t>
      </w:r>
      <w:r w:rsidR="00A953C8">
        <w:t>CIL</w:t>
      </w:r>
      <w:r w:rsidR="00696E13" w:rsidRPr="00E70003">
        <w:t xml:space="preserve"> will properly protect its </w:t>
      </w:r>
      <w:r w:rsidR="00B20C41">
        <w:t xml:space="preserve">electronic </w:t>
      </w:r>
      <w:r w:rsidR="00696E13" w:rsidRPr="00E70003">
        <w:t xml:space="preserve">information </w:t>
      </w:r>
      <w:r w:rsidR="0072745C">
        <w:t xml:space="preserve">with </w:t>
      </w:r>
      <w:r w:rsidR="00696E13" w:rsidRPr="00E70003">
        <w:t>the following procedures:</w:t>
      </w:r>
    </w:p>
    <w:p w14:paraId="027F24ED" w14:textId="51EE1866" w:rsidR="00831BC2" w:rsidRPr="00E70003" w:rsidRDefault="00696E13" w:rsidP="00C4593B">
      <w:pPr>
        <w:pStyle w:val="ListBullet"/>
      </w:pPr>
      <w:r w:rsidRPr="00E70003">
        <w:t>Backups</w:t>
      </w:r>
      <w:r w:rsidR="00831BC2" w:rsidRPr="00E70003">
        <w:t xml:space="preserve"> of important data will be made and stored off-site</w:t>
      </w:r>
      <w:r w:rsidR="00B20C41">
        <w:t xml:space="preserve"> or in the cloud</w:t>
      </w:r>
      <w:r w:rsidR="00831BC2" w:rsidRPr="00E70003">
        <w:t xml:space="preserve"> periodically.</w:t>
      </w:r>
      <w:r w:rsidR="00E16D80">
        <w:rPr>
          <w:rStyle w:val="FootnoteReference"/>
        </w:rPr>
        <w:footnoteReference w:id="26"/>
      </w:r>
      <w:r w:rsidR="00E16D80">
        <w:t xml:space="preserve"> </w:t>
      </w:r>
    </w:p>
    <w:p w14:paraId="62B83A7D" w14:textId="77777777" w:rsidR="00831BC2" w:rsidRPr="00E70003" w:rsidRDefault="00831BC2" w:rsidP="00C4593B">
      <w:pPr>
        <w:pStyle w:val="ListBullet"/>
      </w:pPr>
      <w:r w:rsidRPr="00E70003">
        <w:t>Backups will be verified</w:t>
      </w:r>
      <w:r w:rsidR="00E42816" w:rsidRPr="00E70003">
        <w:t xml:space="preserve"> at least </w:t>
      </w:r>
      <w:r w:rsidRPr="00E70003">
        <w:t>quarterly to make sure they are working</w:t>
      </w:r>
      <w:r w:rsidR="0072745C">
        <w:t>.</w:t>
      </w:r>
    </w:p>
    <w:p w14:paraId="50A8B590" w14:textId="77777777" w:rsidR="00831BC2" w:rsidRPr="00E70003" w:rsidRDefault="00831BC2" w:rsidP="00C4593B">
      <w:pPr>
        <w:pStyle w:val="ListBullet"/>
      </w:pPr>
      <w:r w:rsidRPr="00E70003">
        <w:t>Surge protector</w:t>
      </w:r>
      <w:r w:rsidR="00E42816" w:rsidRPr="00E70003">
        <w:t>s will be used on all computers</w:t>
      </w:r>
      <w:r w:rsidRPr="00E70003">
        <w:t xml:space="preserve"> and UPS/battery backups will be used on </w:t>
      </w:r>
      <w:r w:rsidR="0072745C">
        <w:t xml:space="preserve">the </w:t>
      </w:r>
      <w:r w:rsidRPr="00E70003">
        <w:t>server.</w:t>
      </w:r>
    </w:p>
    <w:p w14:paraId="734A3239" w14:textId="77777777" w:rsidR="00F82A1B" w:rsidRDefault="00831BC2" w:rsidP="00C4593B">
      <w:pPr>
        <w:pStyle w:val="ListBullet"/>
      </w:pPr>
      <w:r w:rsidRPr="00E70003">
        <w:t>Access to computers</w:t>
      </w:r>
      <w:r w:rsidR="00ED10E0">
        <w:t xml:space="preserve"> with confidential information</w:t>
      </w:r>
      <w:r w:rsidRPr="00E70003">
        <w:t xml:space="preserve"> will be limited to those needing access</w:t>
      </w:r>
      <w:r w:rsidR="008D55FF">
        <w:t xml:space="preserve"> required for the performance of job duties</w:t>
      </w:r>
      <w:r w:rsidR="00F82A1B">
        <w:t>.</w:t>
      </w:r>
    </w:p>
    <w:p w14:paraId="0075978B" w14:textId="77777777" w:rsidR="00831BC2" w:rsidRPr="00E70003" w:rsidRDefault="00F82A1B" w:rsidP="00C4593B">
      <w:pPr>
        <w:pStyle w:val="ListBullet"/>
      </w:pPr>
      <w:r>
        <w:t>A</w:t>
      </w:r>
      <w:r w:rsidR="00831BC2" w:rsidRPr="00E70003">
        <w:t>ccess will be immediately removed when someone leaves or is terminated.</w:t>
      </w:r>
    </w:p>
    <w:p w14:paraId="3A435316" w14:textId="6FFAE846" w:rsidR="00831BC2" w:rsidRPr="00E70003" w:rsidRDefault="0072745C" w:rsidP="00C4593B">
      <w:pPr>
        <w:pStyle w:val="ListBullet"/>
      </w:pPr>
      <w:r>
        <w:lastRenderedPageBreak/>
        <w:t>S</w:t>
      </w:r>
      <w:r w:rsidR="00831BC2" w:rsidRPr="00E70003">
        <w:t xml:space="preserve">ecure passwords </w:t>
      </w:r>
      <w:r>
        <w:t>will be used</w:t>
      </w:r>
      <w:r w:rsidR="004B2A1D">
        <w:t xml:space="preserve"> and changed</w:t>
      </w:r>
      <w:r w:rsidR="00650B64">
        <w:t xml:space="preserve"> at least quarterly</w:t>
      </w:r>
      <w:r w:rsidR="004B2A1D">
        <w:t>.</w:t>
      </w:r>
      <w:r w:rsidR="004B2A1D">
        <w:rPr>
          <w:rStyle w:val="FootnoteReference"/>
        </w:rPr>
        <w:footnoteReference w:id="27"/>
      </w:r>
    </w:p>
    <w:p w14:paraId="43D7578C" w14:textId="7306A520" w:rsidR="00831BC2" w:rsidRPr="00E70003" w:rsidRDefault="00327605" w:rsidP="00C4593B">
      <w:pPr>
        <w:pStyle w:val="ListBullet"/>
      </w:pPr>
      <w:r>
        <w:t>U</w:t>
      </w:r>
      <w:r w:rsidR="00E42816" w:rsidRPr="00E70003">
        <w:t xml:space="preserve">p-to-date </w:t>
      </w:r>
      <w:r w:rsidR="00650B64">
        <w:t>anti-</w:t>
      </w:r>
      <w:r w:rsidR="00E42816" w:rsidRPr="00E70003">
        <w:t>virus protection</w:t>
      </w:r>
      <w:r w:rsidR="00650B64">
        <w:t>, ad-</w:t>
      </w:r>
      <w:r w:rsidR="00ED10E0">
        <w:t>blocking,</w:t>
      </w:r>
      <w:r w:rsidR="00831BC2" w:rsidRPr="00E70003">
        <w:t xml:space="preserve"> and anti-spam</w:t>
      </w:r>
      <w:r>
        <w:t xml:space="preserve"> software will be used</w:t>
      </w:r>
      <w:r w:rsidR="00831BC2" w:rsidRPr="00E70003">
        <w:t>.</w:t>
      </w:r>
    </w:p>
    <w:p w14:paraId="37467206" w14:textId="77777777" w:rsidR="00831BC2" w:rsidRPr="00E70003" w:rsidRDefault="00831BC2" w:rsidP="00C4593B">
      <w:pPr>
        <w:pStyle w:val="ListBullet"/>
      </w:pPr>
      <w:r w:rsidRPr="00E70003">
        <w:t>Any re</w:t>
      </w:r>
      <w:r w:rsidR="00E42816" w:rsidRPr="00E70003">
        <w:t xml:space="preserve">mote devices such as laptops, </w:t>
      </w:r>
      <w:r w:rsidRPr="00E70003">
        <w:t xml:space="preserve">smartphones or </w:t>
      </w:r>
      <w:r w:rsidR="00F82A1B">
        <w:t>note</w:t>
      </w:r>
      <w:r w:rsidRPr="00E70003">
        <w:t>pa</w:t>
      </w:r>
      <w:r w:rsidR="00E42816" w:rsidRPr="00E70003">
        <w:t>ds</w:t>
      </w:r>
      <w:r w:rsidRPr="00E70003">
        <w:t xml:space="preserve"> that are integrated with </w:t>
      </w:r>
      <w:r w:rsidR="005A035D">
        <w:t>the computer</w:t>
      </w:r>
      <w:r w:rsidRPr="00E70003">
        <w:t xml:space="preserve"> system will be secured with passwords and</w:t>
      </w:r>
      <w:r w:rsidR="00E42816" w:rsidRPr="00E70003">
        <w:t>/</w:t>
      </w:r>
      <w:r w:rsidRPr="00E70003">
        <w:t>or encrypted</w:t>
      </w:r>
      <w:r w:rsidR="00B20C41">
        <w:t>, and set up to allow remote deletion of confidential information</w:t>
      </w:r>
      <w:r w:rsidRPr="00E70003">
        <w:t>.</w:t>
      </w:r>
    </w:p>
    <w:p w14:paraId="249113B1" w14:textId="77777777" w:rsidR="00831BC2" w:rsidRPr="00E70003" w:rsidRDefault="00831BC2" w:rsidP="00C4593B">
      <w:pPr>
        <w:pStyle w:val="ListBullet"/>
      </w:pPr>
      <w:r w:rsidRPr="00E70003">
        <w:t>Hard drives wi</w:t>
      </w:r>
      <w:r w:rsidR="00E42816" w:rsidRPr="00E70003">
        <w:t>ll be defragmented periodically</w:t>
      </w:r>
      <w:r w:rsidR="00327605">
        <w:t>,</w:t>
      </w:r>
      <w:r w:rsidRPr="00E70003">
        <w:t xml:space="preserve"> error logs will be reviewed for </w:t>
      </w:r>
      <w:r w:rsidR="00327605">
        <w:t xml:space="preserve">potential problems, and problems </w:t>
      </w:r>
      <w:r w:rsidR="005A035D">
        <w:t xml:space="preserve">will be </w:t>
      </w:r>
      <w:r w:rsidR="00327605">
        <w:t>remedied</w:t>
      </w:r>
      <w:r w:rsidRPr="00E70003">
        <w:t>.</w:t>
      </w:r>
    </w:p>
    <w:p w14:paraId="6CAD3A06" w14:textId="77777777" w:rsidR="00327605" w:rsidRDefault="00327605" w:rsidP="00CE0277">
      <w:pPr>
        <w:pStyle w:val="ListBullet"/>
      </w:pPr>
      <w:r>
        <w:t>L</w:t>
      </w:r>
      <w:r w:rsidR="00831BC2" w:rsidRPr="00E70003">
        <w:t xml:space="preserve">icense and warranty information </w:t>
      </w:r>
      <w:r>
        <w:t xml:space="preserve">will be maintained </w:t>
      </w:r>
      <w:r w:rsidR="00831BC2" w:rsidRPr="00E70003">
        <w:t xml:space="preserve">in a secure central </w:t>
      </w:r>
      <w:r>
        <w:t>location</w:t>
      </w:r>
      <w:r w:rsidR="00831BC2" w:rsidRPr="00E70003">
        <w:t>.</w:t>
      </w:r>
    </w:p>
    <w:p w14:paraId="4C97F862" w14:textId="2C1FD096" w:rsidR="00485EB8" w:rsidRDefault="00696E13" w:rsidP="00FC6DA2">
      <w:pPr>
        <w:pStyle w:val="Heading2special"/>
      </w:pPr>
      <w:bookmarkStart w:id="201" w:name="_Toc346626488"/>
      <w:bookmarkStart w:id="202" w:name="_Toc347934440"/>
      <w:bookmarkStart w:id="203" w:name="_Toc352681838"/>
      <w:bookmarkStart w:id="204" w:name="_Toc352773500"/>
      <w:bookmarkStart w:id="205" w:name="_Toc352773600"/>
      <w:bookmarkStart w:id="206" w:name="_Toc448404229"/>
      <w:bookmarkStart w:id="207" w:name="_Toc253834370"/>
      <w:r w:rsidRPr="00327605">
        <w:t>Purchasing Policy</w:t>
      </w:r>
      <w:bookmarkEnd w:id="201"/>
      <w:bookmarkEnd w:id="202"/>
      <w:bookmarkEnd w:id="203"/>
      <w:bookmarkEnd w:id="204"/>
      <w:bookmarkEnd w:id="205"/>
      <w:r w:rsidR="00C24D1B">
        <w:rPr>
          <w:rStyle w:val="FootnoteReference"/>
        </w:rPr>
        <w:footnoteReference w:id="28"/>
      </w:r>
      <w:bookmarkEnd w:id="206"/>
    </w:p>
    <w:p w14:paraId="6978B340" w14:textId="77777777" w:rsidR="00FC6DA2" w:rsidRPr="00FC6DA2" w:rsidRDefault="00FC6DA2" w:rsidP="00FC6DA2">
      <w:pPr>
        <w:pStyle w:val="Bodytexttiny"/>
      </w:pPr>
    </w:p>
    <w:p w14:paraId="7D209958" w14:textId="77777777" w:rsidR="00485EB8" w:rsidRPr="005A035D" w:rsidRDefault="00BE47AA" w:rsidP="00FC6DA2">
      <w:pPr>
        <w:pStyle w:val="Heading3special"/>
      </w:pPr>
      <w:bookmarkStart w:id="208" w:name="_Toc346626489"/>
      <w:bookmarkStart w:id="209" w:name="_Toc347934441"/>
      <w:bookmarkStart w:id="210" w:name="_Toc352681839"/>
      <w:bookmarkStart w:id="211" w:name="_Toc352773501"/>
      <w:bookmarkStart w:id="212" w:name="_Toc352773601"/>
      <w:bookmarkStart w:id="213" w:name="_Toc448404230"/>
      <w:r w:rsidRPr="005A035D">
        <w:rPr>
          <w:rFonts w:eastAsia="Calibri"/>
        </w:rPr>
        <w:t>Objectives of the Policy</w:t>
      </w:r>
      <w:bookmarkEnd w:id="208"/>
      <w:bookmarkEnd w:id="209"/>
      <w:bookmarkEnd w:id="210"/>
      <w:bookmarkEnd w:id="211"/>
      <w:bookmarkEnd w:id="212"/>
      <w:bookmarkEnd w:id="213"/>
    </w:p>
    <w:p w14:paraId="66A7CBB0" w14:textId="4781AD18" w:rsidR="00485EB8" w:rsidRPr="005A035D" w:rsidRDefault="00327605" w:rsidP="005A035D">
      <w:pPr>
        <w:pStyle w:val="BodyText"/>
      </w:pPr>
      <w:r w:rsidRPr="005A035D">
        <w:t xml:space="preserve">The </w:t>
      </w:r>
      <w:r w:rsidR="00C24D1B">
        <w:t>CIL</w:t>
      </w:r>
      <w:r w:rsidRPr="005A035D">
        <w:t>’s policy has the following objectives:</w:t>
      </w:r>
    </w:p>
    <w:p w14:paraId="4E3E0F8E" w14:textId="1929D580" w:rsidR="00C4593B" w:rsidRDefault="00A403BF" w:rsidP="00C4593B">
      <w:pPr>
        <w:pStyle w:val="ListBullet"/>
      </w:pPr>
      <w:r>
        <w:t>L</w:t>
      </w:r>
      <w:r w:rsidR="00696E13" w:rsidRPr="00E70003">
        <w:t>imit purchases to necessary items</w:t>
      </w:r>
      <w:r>
        <w:t>.</w:t>
      </w:r>
    </w:p>
    <w:p w14:paraId="3DE794A6" w14:textId="68E25D2C" w:rsidR="00696E13" w:rsidRPr="00E70003" w:rsidRDefault="00A403BF" w:rsidP="00C4593B">
      <w:pPr>
        <w:pStyle w:val="ListBullet"/>
      </w:pPr>
      <w:r>
        <w:t>M</w:t>
      </w:r>
      <w:r w:rsidR="00696E13" w:rsidRPr="00E70003">
        <w:t>inimize the possibility of theft or misuse</w:t>
      </w:r>
      <w:r>
        <w:t>.</w:t>
      </w:r>
    </w:p>
    <w:p w14:paraId="783E8AE1" w14:textId="56BC2CD1" w:rsidR="00696E13" w:rsidRPr="00E70003" w:rsidRDefault="00A403BF" w:rsidP="00C4593B">
      <w:pPr>
        <w:pStyle w:val="ListBullet"/>
      </w:pPr>
      <w:r>
        <w:t>C</w:t>
      </w:r>
      <w:r w:rsidR="00696E13" w:rsidRPr="00E70003">
        <w:t>ontrol costs while ensuring quality</w:t>
      </w:r>
      <w:r>
        <w:t>.</w:t>
      </w:r>
    </w:p>
    <w:p w14:paraId="1262CD22" w14:textId="746B5655" w:rsidR="00696E13" w:rsidRPr="00E70003" w:rsidRDefault="00A403BF" w:rsidP="00C4593B">
      <w:pPr>
        <w:pStyle w:val="ListBullet"/>
      </w:pPr>
      <w:r>
        <w:t>C</w:t>
      </w:r>
      <w:r w:rsidR="00696E13" w:rsidRPr="00E70003">
        <w:t>omply with federal or other regulations where applicable</w:t>
      </w:r>
      <w:r>
        <w:t>.</w:t>
      </w:r>
    </w:p>
    <w:p w14:paraId="73643A56" w14:textId="114B2213" w:rsidR="00696E13" w:rsidRPr="00E70003" w:rsidRDefault="00A403BF" w:rsidP="00C4593B">
      <w:pPr>
        <w:pStyle w:val="ListBullet"/>
      </w:pPr>
      <w:r>
        <w:t>P</w:t>
      </w:r>
      <w:r w:rsidR="00CF2097" w:rsidRPr="00E70003">
        <w:t>roperly identify the nature</w:t>
      </w:r>
      <w:r w:rsidR="00696E13" w:rsidRPr="00E70003">
        <w:t xml:space="preserve"> and program or supporting service of the purchase</w:t>
      </w:r>
      <w:r>
        <w:t>.</w:t>
      </w:r>
    </w:p>
    <w:p w14:paraId="671EDCCB" w14:textId="77777777" w:rsidR="00485EB8" w:rsidRPr="006F731C" w:rsidRDefault="00BE47AA" w:rsidP="00266D8D">
      <w:pPr>
        <w:pStyle w:val="Heading3"/>
      </w:pPr>
      <w:bookmarkStart w:id="214" w:name="_Toc346626490"/>
      <w:bookmarkStart w:id="215" w:name="_Toc347934442"/>
      <w:bookmarkStart w:id="216" w:name="_Toc352681840"/>
      <w:bookmarkStart w:id="217" w:name="_Toc352773502"/>
      <w:bookmarkStart w:id="218" w:name="_Toc352773602"/>
      <w:bookmarkStart w:id="219" w:name="_Toc448404231"/>
      <w:r w:rsidRPr="006F731C">
        <w:t>Overview</w:t>
      </w:r>
      <w:bookmarkEnd w:id="214"/>
      <w:bookmarkEnd w:id="215"/>
      <w:bookmarkEnd w:id="216"/>
      <w:bookmarkEnd w:id="217"/>
      <w:bookmarkEnd w:id="218"/>
      <w:bookmarkEnd w:id="219"/>
    </w:p>
    <w:p w14:paraId="260932C9" w14:textId="77777777" w:rsidR="00485EB8" w:rsidRDefault="00696E13" w:rsidP="00E5054E">
      <w:pPr>
        <w:pStyle w:val="BodyText"/>
      </w:pPr>
      <w:r w:rsidRPr="00E70003">
        <w:t xml:space="preserve">It is the policy of the </w:t>
      </w:r>
      <w:r w:rsidR="00A953C8">
        <w:t>CIL</w:t>
      </w:r>
      <w:r w:rsidRPr="00E70003">
        <w:t xml:space="preserve"> to follow ethical, responsible, and reasonable purchasing procedures. These policies describe the principles and procedures to be followed by all staff in connection with their purchasing responsibilities.</w:t>
      </w:r>
    </w:p>
    <w:p w14:paraId="49EE1718" w14:textId="77777777" w:rsidR="00485EB8" w:rsidRPr="006F731C" w:rsidRDefault="00BE47AA" w:rsidP="00266D8D">
      <w:pPr>
        <w:pStyle w:val="Heading3"/>
      </w:pPr>
      <w:bookmarkStart w:id="220" w:name="_Toc346626491"/>
      <w:bookmarkStart w:id="221" w:name="_Toc347934443"/>
      <w:bookmarkStart w:id="222" w:name="_Toc352681841"/>
      <w:bookmarkStart w:id="223" w:name="_Toc352773503"/>
      <w:bookmarkStart w:id="224" w:name="_Toc352773603"/>
      <w:bookmarkStart w:id="225" w:name="_Toc448404232"/>
      <w:r w:rsidRPr="006F731C">
        <w:t>Responsibility for Purchasing</w:t>
      </w:r>
      <w:bookmarkEnd w:id="220"/>
      <w:bookmarkEnd w:id="221"/>
      <w:bookmarkEnd w:id="222"/>
      <w:bookmarkEnd w:id="223"/>
      <w:bookmarkEnd w:id="224"/>
      <w:bookmarkEnd w:id="225"/>
    </w:p>
    <w:p w14:paraId="4DF8D7E6" w14:textId="77777777" w:rsidR="00A67859" w:rsidRDefault="00DB6D88" w:rsidP="00E5054E">
      <w:pPr>
        <w:pStyle w:val="BodyText"/>
      </w:pPr>
      <w:r w:rsidRPr="00E70003">
        <w:t xml:space="preserve">All purchases will be approved by the </w:t>
      </w:r>
      <w:r w:rsidR="0069355A">
        <w:t>e</w:t>
      </w:r>
      <w:r w:rsidR="00E100A6" w:rsidRPr="00E70003">
        <w:t xml:space="preserve">xecutive </w:t>
      </w:r>
      <w:r w:rsidR="0069355A">
        <w:t>d</w:t>
      </w:r>
      <w:r w:rsidR="00E100A6" w:rsidRPr="00E70003">
        <w:t>irector</w:t>
      </w:r>
      <w:r w:rsidR="0069355A">
        <w:t>.</w:t>
      </w:r>
    </w:p>
    <w:p w14:paraId="5E7F66C6" w14:textId="77777777" w:rsidR="00697EB7" w:rsidRDefault="00697EB7" w:rsidP="00697EB7">
      <w:pPr>
        <w:pStyle w:val="Heading3"/>
      </w:pPr>
      <w:bookmarkStart w:id="226" w:name="_Toc448404233"/>
      <w:r w:rsidRPr="00E70003">
        <w:t>Ethical Conduct in Purchasing</w:t>
      </w:r>
      <w:bookmarkEnd w:id="226"/>
    </w:p>
    <w:p w14:paraId="58969A10" w14:textId="77777777" w:rsidR="00697EB7" w:rsidRDefault="00697EB7" w:rsidP="00697EB7">
      <w:pPr>
        <w:pStyle w:val="BodyText"/>
      </w:pPr>
      <w:r w:rsidRPr="00E70003">
        <w:t xml:space="preserve">Individuals involved in the purchasing process </w:t>
      </w:r>
      <w:r>
        <w:t xml:space="preserve">will </w:t>
      </w:r>
      <w:r w:rsidRPr="00E70003">
        <w:t>disco</w:t>
      </w:r>
      <w:r>
        <w:t>urage the offer of, and decline</w:t>
      </w:r>
      <w:r w:rsidRPr="00E70003">
        <w:t xml:space="preserve"> gifts or gratuities for themsel</w:t>
      </w:r>
      <w:r>
        <w:t xml:space="preserve">ves, their families or friends from potential vendors. They will </w:t>
      </w:r>
      <w:r w:rsidRPr="00E70003">
        <w:t>never discriminate unfairly by dispensing special favors or privileges to anyone whether for remuneration or not.</w:t>
      </w:r>
    </w:p>
    <w:p w14:paraId="24A13360" w14:textId="77777777" w:rsidR="00697EB7" w:rsidRDefault="00697EB7" w:rsidP="00697EB7">
      <w:pPr>
        <w:pStyle w:val="Heading3"/>
      </w:pPr>
      <w:bookmarkStart w:id="227" w:name="_Toc448404234"/>
      <w:r w:rsidRPr="00E70003">
        <w:lastRenderedPageBreak/>
        <w:t>Conflicts of Interest Prohibited</w:t>
      </w:r>
      <w:bookmarkEnd w:id="227"/>
    </w:p>
    <w:p w14:paraId="573CC25D" w14:textId="77777777" w:rsidR="00697EB7" w:rsidRDefault="00697EB7" w:rsidP="00697EB7">
      <w:pPr>
        <w:pStyle w:val="BodyText"/>
      </w:pPr>
      <w:r w:rsidRPr="00E70003">
        <w:t xml:space="preserve">Employees </w:t>
      </w:r>
      <w:r>
        <w:t xml:space="preserve">and members of the board of directors </w:t>
      </w:r>
      <w:r w:rsidRPr="00E70003">
        <w:t>have an obligation to conduct business within guidelines that prohibit actual or p</w:t>
      </w:r>
      <w:r>
        <w:t>otential conflicts of interest.</w:t>
      </w:r>
      <w:r w:rsidRPr="00E70003">
        <w:t xml:space="preserve"> This policy establishes only the framework within which the </w:t>
      </w:r>
      <w:r>
        <w:t>CIL will operate.</w:t>
      </w:r>
      <w:r w:rsidRPr="00E70003">
        <w:t xml:space="preserve"> The purpose of these guidelines is to provide </w:t>
      </w:r>
      <w:r>
        <w:t xml:space="preserve">general </w:t>
      </w:r>
      <w:r w:rsidRPr="00E70003">
        <w:t xml:space="preserve">direction </w:t>
      </w:r>
      <w:r>
        <w:t>for all employees and members of the board of directors. E</w:t>
      </w:r>
      <w:r w:rsidRPr="00E70003">
        <w:t xml:space="preserve">mployees </w:t>
      </w:r>
      <w:r>
        <w:t xml:space="preserve">are expected to </w:t>
      </w:r>
      <w:r w:rsidRPr="00E70003">
        <w:t xml:space="preserve">seek further clarification </w:t>
      </w:r>
      <w:r>
        <w:t xml:space="preserve">from their supervisor </w:t>
      </w:r>
      <w:r w:rsidRPr="00E70003">
        <w:t>on issues related to the subject of acceptable standards of operation</w:t>
      </w:r>
      <w:r>
        <w:t xml:space="preserve"> if any question arises</w:t>
      </w:r>
      <w:r w:rsidRPr="00E70003">
        <w:t>.</w:t>
      </w:r>
      <w:r>
        <w:t xml:space="preserve"> Board members, as well as any employees involved in the procurement/purchasing process, are expected to disclose any potential conflict of interest and to remove themselves from discussion and decision making in any item of business in which they have a conflict of interest.</w:t>
      </w:r>
    </w:p>
    <w:p w14:paraId="50F9577B" w14:textId="77777777" w:rsidR="00697EB7" w:rsidRPr="006F731C" w:rsidRDefault="00697EB7" w:rsidP="00697EB7">
      <w:pPr>
        <w:pStyle w:val="Heading3"/>
      </w:pPr>
      <w:bookmarkStart w:id="228" w:name="_Toc448404235"/>
      <w:r>
        <w:t>Conflict of Interest</w:t>
      </w:r>
      <w:bookmarkEnd w:id="228"/>
    </w:p>
    <w:p w14:paraId="089DE087" w14:textId="41539DD4" w:rsidR="00697EB7" w:rsidRDefault="00697EB7" w:rsidP="00697EB7">
      <w:pPr>
        <w:pStyle w:val="BodyText"/>
      </w:pPr>
      <w:r w:rsidRPr="00E70003">
        <w:t xml:space="preserve">An actual or potential conflict of interest occurs when </w:t>
      </w:r>
      <w:r>
        <w:t xml:space="preserve">the employee, officer, or agent, any member of his or her immediate family, his or her </w:t>
      </w:r>
      <w:r w:rsidR="00756DF5">
        <w:t xml:space="preserve">life </w:t>
      </w:r>
      <w:r>
        <w:t xml:space="preserve">partner, </w:t>
      </w:r>
      <w:r w:rsidR="00756DF5">
        <w:t xml:space="preserve">his or her business partner, </w:t>
      </w:r>
      <w:r>
        <w:t xml:space="preserve">or an organization which employs or is about to employ any of the parties indicated herein, has a financial or other interest in the firm selected for an award. </w:t>
      </w:r>
      <w:r w:rsidR="004B37DB">
        <w:t>The basic principles that apply are that any potential conflict must be disclosed and the individual who has a potential conflict cannot be involved in decision-making related to the area in which they have a conflict.</w:t>
      </w:r>
    </w:p>
    <w:p w14:paraId="4EBF9375" w14:textId="4931A0FA" w:rsidR="00697EB7" w:rsidRDefault="00697EB7" w:rsidP="00697EB7">
      <w:pPr>
        <w:pStyle w:val="BodyText"/>
      </w:pPr>
      <w:r w:rsidRPr="00E70003">
        <w:t xml:space="preserve">No “presumption of guilt” is created by the mere existence of a relationship with an outside firm. However, when the </w:t>
      </w:r>
      <w:r>
        <w:t>individual</w:t>
      </w:r>
      <w:r w:rsidRPr="00E70003">
        <w:t xml:space="preserve"> has any influence on transactions involving purchases, contracts, or leases, it is imperative that they disclose to the </w:t>
      </w:r>
      <w:r>
        <w:t>e</w:t>
      </w:r>
      <w:r w:rsidRPr="00E70003">
        <w:t xml:space="preserve">xecutive </w:t>
      </w:r>
      <w:r>
        <w:t>d</w:t>
      </w:r>
      <w:r w:rsidRPr="00E70003">
        <w:t>irector</w:t>
      </w:r>
      <w:r>
        <w:t>, or, in the case of a board member or the executive director, to the full board,</w:t>
      </w:r>
      <w:r w:rsidRPr="00E70003">
        <w:t xml:space="preserve"> as soon as possible the existence of any actual or potential conflicts of interest so that safeguards can be </w:t>
      </w:r>
      <w:r>
        <w:t xml:space="preserve">implemented </w:t>
      </w:r>
      <w:r w:rsidRPr="00E70003">
        <w:t xml:space="preserve">to protect all </w:t>
      </w:r>
      <w:r w:rsidR="00B57FE6" w:rsidRPr="00E70003">
        <w:t>parties. Personal</w:t>
      </w:r>
      <w:r w:rsidRPr="00E70003">
        <w:t xml:space="preserve"> gain is prohibited</w:t>
      </w:r>
      <w:r>
        <w:t>.</w:t>
      </w:r>
      <w:r w:rsidRPr="00E70003">
        <w:t xml:space="preserve"> </w:t>
      </w:r>
      <w:r>
        <w:t xml:space="preserve">Transactions are prohibited </w:t>
      </w:r>
      <w:r w:rsidRPr="00E70003">
        <w:t xml:space="preserve">where the </w:t>
      </w:r>
      <w:r>
        <w:t>individual</w:t>
      </w:r>
      <w:r w:rsidR="00F967A6">
        <w:t>,</w:t>
      </w:r>
      <w:r w:rsidRPr="00E70003">
        <w:t xml:space="preserve"> </w:t>
      </w:r>
      <w:r w:rsidR="00F967A6">
        <w:t xml:space="preserve">partner or </w:t>
      </w:r>
      <w:r w:rsidRPr="00E70003">
        <w:t xml:space="preserve">relative has significant ownership in a firm with which the </w:t>
      </w:r>
      <w:r>
        <w:t>CIL</w:t>
      </w:r>
      <w:r w:rsidRPr="00E70003">
        <w:t xml:space="preserve"> does business</w:t>
      </w:r>
      <w:r>
        <w:t>. A</w:t>
      </w:r>
      <w:r w:rsidRPr="00E70003">
        <w:t xml:space="preserve">ny kickback, bribe, substantial gift, or special consideration </w:t>
      </w:r>
      <w:r>
        <w:t xml:space="preserve">to an individual or relative is prohibited </w:t>
      </w:r>
      <w:r w:rsidRPr="00E70003">
        <w:t xml:space="preserve">as a result of any transaction or business dealings involving the </w:t>
      </w:r>
      <w:r>
        <w:t>CIL</w:t>
      </w:r>
      <w:r w:rsidRPr="00E70003">
        <w:t xml:space="preserve"> in w</w:t>
      </w:r>
      <w:r>
        <w:t>hich the individual has influence</w:t>
      </w:r>
      <w:r w:rsidRPr="00E70003">
        <w:t>.</w:t>
      </w:r>
    </w:p>
    <w:p w14:paraId="2688D51C" w14:textId="77777777" w:rsidR="003D06A8" w:rsidRPr="00E70003" w:rsidRDefault="003D06A8" w:rsidP="003D06A8">
      <w:pPr>
        <w:pStyle w:val="BodyText"/>
      </w:pPr>
      <w:r>
        <w:t>Any employee found guilty of a conflict will be subject to disciplinary action.</w:t>
      </w:r>
    </w:p>
    <w:p w14:paraId="6A645256" w14:textId="4706E5E4" w:rsidR="003D06A8" w:rsidRPr="00E70003" w:rsidRDefault="003D06A8" w:rsidP="00697EB7">
      <w:pPr>
        <w:pStyle w:val="BodyText"/>
      </w:pPr>
      <w:r>
        <w:t>Actual or potential conflicts of interest involving federally funded activities must be reported to the federal awarding agency</w:t>
      </w:r>
      <w:r w:rsidR="00C24D1B">
        <w:t>.</w:t>
      </w:r>
      <w:r w:rsidR="00C24D1B">
        <w:rPr>
          <w:rStyle w:val="FootnoteReference"/>
        </w:rPr>
        <w:footnoteReference w:id="29"/>
      </w:r>
    </w:p>
    <w:p w14:paraId="081BC74C" w14:textId="77777777" w:rsidR="00485EB8" w:rsidRDefault="00347010" w:rsidP="000B2CF8">
      <w:pPr>
        <w:pStyle w:val="Heading2"/>
      </w:pPr>
      <w:bookmarkStart w:id="229" w:name="_Toc346626496"/>
      <w:bookmarkStart w:id="230" w:name="_Toc347934449"/>
      <w:bookmarkStart w:id="231" w:name="_Toc352681847"/>
      <w:bookmarkStart w:id="232" w:name="_Toc352773509"/>
      <w:bookmarkStart w:id="233" w:name="_Toc352773609"/>
      <w:bookmarkStart w:id="234" w:name="_Toc448404236"/>
      <w:r>
        <w:t>Procurement u</w:t>
      </w:r>
      <w:r w:rsidR="00696E13" w:rsidRPr="00E70003">
        <w:t xml:space="preserve">nder </w:t>
      </w:r>
      <w:r w:rsidR="00292887">
        <w:t xml:space="preserve">State or </w:t>
      </w:r>
      <w:r w:rsidR="00696E13" w:rsidRPr="00E70003">
        <w:t>Federal Awards</w:t>
      </w:r>
      <w:bookmarkEnd w:id="229"/>
      <w:bookmarkEnd w:id="230"/>
      <w:bookmarkEnd w:id="231"/>
      <w:bookmarkEnd w:id="232"/>
      <w:bookmarkEnd w:id="233"/>
      <w:bookmarkEnd w:id="234"/>
    </w:p>
    <w:p w14:paraId="2CB96190" w14:textId="77777777" w:rsidR="00696E13" w:rsidRPr="00E70003" w:rsidRDefault="00696E13" w:rsidP="00E70003">
      <w:pPr>
        <w:pStyle w:val="BodyText"/>
      </w:pPr>
      <w:r w:rsidRPr="00E70003">
        <w:t xml:space="preserve">Procurement of goods and services that will be charged to </w:t>
      </w:r>
      <w:r w:rsidR="00292887">
        <w:t xml:space="preserve">state or </w:t>
      </w:r>
      <w:r w:rsidR="00D7256C">
        <w:t>f</w:t>
      </w:r>
      <w:r w:rsidRPr="00E70003">
        <w:t xml:space="preserve">ederal awards received by the </w:t>
      </w:r>
      <w:r w:rsidR="00A05C60">
        <w:t>CIL</w:t>
      </w:r>
      <w:r w:rsidRPr="00E70003">
        <w:t xml:space="preserve"> </w:t>
      </w:r>
      <w:r w:rsidR="00544B66" w:rsidRPr="00E70003">
        <w:t>is</w:t>
      </w:r>
      <w:r w:rsidRPr="00E70003">
        <w:t xml:space="preserve"> subject to all of the policies above and also to the following:</w:t>
      </w:r>
    </w:p>
    <w:p w14:paraId="5EE09891" w14:textId="77777777" w:rsidR="00696E13" w:rsidRPr="00E70003" w:rsidRDefault="00CF2097" w:rsidP="008B7E47">
      <w:pPr>
        <w:pStyle w:val="ListBullet"/>
      </w:pPr>
      <w:r w:rsidRPr="00E70003">
        <w:lastRenderedPageBreak/>
        <w:t xml:space="preserve">The </w:t>
      </w:r>
      <w:r w:rsidR="00A05C60">
        <w:t>CIL</w:t>
      </w:r>
      <w:r w:rsidR="00696E13" w:rsidRPr="00E70003">
        <w:t xml:space="preserve"> </w:t>
      </w:r>
      <w:r w:rsidR="00F82A1B">
        <w:t xml:space="preserve">will purchase only those items </w:t>
      </w:r>
      <w:r w:rsidR="00540614">
        <w:t xml:space="preserve">necessary </w:t>
      </w:r>
      <w:r w:rsidR="00696E13" w:rsidRPr="00E70003">
        <w:t xml:space="preserve">for the performance of the duties required by a </w:t>
      </w:r>
      <w:r w:rsidR="00292887">
        <w:t xml:space="preserve">state or </w:t>
      </w:r>
      <w:r w:rsidR="00696E13" w:rsidRPr="00E70003">
        <w:t>federal award.</w:t>
      </w:r>
    </w:p>
    <w:p w14:paraId="6949E8E9" w14:textId="77777777" w:rsidR="00696E13" w:rsidRPr="00E70003" w:rsidRDefault="00696E13" w:rsidP="008B7E47">
      <w:pPr>
        <w:pStyle w:val="ListBullet"/>
      </w:pPr>
      <w:r w:rsidRPr="00E70003">
        <w:t xml:space="preserve">Where appropriate, an analysis </w:t>
      </w:r>
      <w:r w:rsidR="00540614">
        <w:t xml:space="preserve">will </w:t>
      </w:r>
      <w:r w:rsidRPr="00E70003">
        <w:t>be made of lease versus purchase acquisitions to determine which would be most economical and practical.</w:t>
      </w:r>
    </w:p>
    <w:p w14:paraId="5379249C" w14:textId="77777777" w:rsidR="00696E13" w:rsidRPr="00E70003" w:rsidRDefault="00696E13" w:rsidP="008B7E47">
      <w:pPr>
        <w:pStyle w:val="ListBullet"/>
      </w:pPr>
      <w:r w:rsidRPr="00E70003">
        <w:t>Documentation of the basis for contractor selection shall be retained when competitive bidding is performed; documentation for why competitive bidding was not done shall be retained.</w:t>
      </w:r>
    </w:p>
    <w:p w14:paraId="697E5913" w14:textId="77777777" w:rsidR="00696E13" w:rsidRPr="00E70003" w:rsidRDefault="00696E13" w:rsidP="00E70003">
      <w:pPr>
        <w:pStyle w:val="BodyText"/>
      </w:pPr>
      <w:r w:rsidRPr="00E70003">
        <w:t xml:space="preserve">Vendor contracts shall include a written statement that they have not been suspended or disbarred from doing business with any </w:t>
      </w:r>
      <w:r w:rsidR="00292887">
        <w:t xml:space="preserve">state or </w:t>
      </w:r>
      <w:r w:rsidRPr="00E70003">
        <w:t>federal agency.</w:t>
      </w:r>
    </w:p>
    <w:p w14:paraId="497C3B50" w14:textId="074A173A" w:rsidR="00B024B9" w:rsidRDefault="00696E13" w:rsidP="00DB3B1A">
      <w:pPr>
        <w:pStyle w:val="BodyText"/>
      </w:pPr>
      <w:r w:rsidRPr="00E70003">
        <w:t xml:space="preserve">Davis-Bacon prevailing wage requirements for construction contracts must be met if required by the </w:t>
      </w:r>
      <w:r w:rsidR="00292887">
        <w:t xml:space="preserve">state or </w:t>
      </w:r>
      <w:r w:rsidRPr="00E70003">
        <w:t>federal award.</w:t>
      </w:r>
      <w:bookmarkStart w:id="235" w:name="_Toc306027046"/>
      <w:bookmarkStart w:id="236" w:name="_Toc346626497"/>
      <w:bookmarkEnd w:id="207"/>
    </w:p>
    <w:p w14:paraId="127FBBAE" w14:textId="0CEE79CB" w:rsidR="00B024B9" w:rsidRDefault="00B024B9" w:rsidP="0067100C">
      <w:pPr>
        <w:pStyle w:val="Heading2"/>
      </w:pPr>
      <w:bookmarkStart w:id="237" w:name="_Toc448404237"/>
      <w:r>
        <w:t>General Procurement Standards</w:t>
      </w:r>
      <w:bookmarkEnd w:id="237"/>
    </w:p>
    <w:p w14:paraId="6C6E3E4D" w14:textId="73816D28" w:rsidR="00B024B9" w:rsidRPr="0067100C" w:rsidRDefault="00B024B9" w:rsidP="00C24D1B">
      <w:pPr>
        <w:pStyle w:val="BodyText"/>
      </w:pPr>
      <w:r w:rsidRPr="0067100C">
        <w:t>Purchases must be necessary and reasonable for the performance of the federal or other award and sh</w:t>
      </w:r>
      <w:r w:rsidR="00C24D1B">
        <w:t>all</w:t>
      </w:r>
      <w:r w:rsidRPr="0067100C">
        <w:t xml:space="preserve"> be properly identified with an award(s).</w:t>
      </w:r>
      <w:r w:rsidR="00C24D1B">
        <w:t xml:space="preserve"> </w:t>
      </w:r>
      <w:r w:rsidRPr="0067100C">
        <w:t>Economical purchase procedures (such as consolidation of purchases), and lease versus purchase, where appropriate sh</w:t>
      </w:r>
      <w:r w:rsidR="00C24D1B">
        <w:t>all</w:t>
      </w:r>
      <w:r w:rsidRPr="0067100C">
        <w:t xml:space="preserve"> be considered.</w:t>
      </w:r>
    </w:p>
    <w:p w14:paraId="6007DD82" w14:textId="4793C9F3" w:rsidR="00B024B9" w:rsidRPr="0067100C" w:rsidRDefault="00B024B9" w:rsidP="00C24D1B">
      <w:pPr>
        <w:pStyle w:val="ListBullet"/>
      </w:pPr>
      <w:r w:rsidRPr="0067100C">
        <w:t>Purchases sh</w:t>
      </w:r>
      <w:r w:rsidR="00C24D1B">
        <w:t>all</w:t>
      </w:r>
      <w:r w:rsidRPr="0067100C">
        <w:t xml:space="preserve"> be treated consistently as direct or indirect costs.</w:t>
      </w:r>
    </w:p>
    <w:p w14:paraId="59E1626C" w14:textId="77777777" w:rsidR="00B024B9" w:rsidRPr="0067100C" w:rsidRDefault="00B024B9" w:rsidP="00C24D1B">
      <w:pPr>
        <w:pStyle w:val="ListBullet"/>
      </w:pPr>
      <w:r w:rsidRPr="0067100C">
        <w:t>Purchases treated as direct or indirect cost cannot also be used to meet cost sharing or matching requirements.</w:t>
      </w:r>
    </w:p>
    <w:p w14:paraId="5DE50C29" w14:textId="11B752C2" w:rsidR="00B024B9" w:rsidRPr="0067100C" w:rsidRDefault="00B024B9" w:rsidP="00C24D1B">
      <w:pPr>
        <w:pStyle w:val="ListBullet"/>
      </w:pPr>
      <w:r w:rsidRPr="0067100C">
        <w:t>Costs charged to federal and other awards sh</w:t>
      </w:r>
      <w:r w:rsidR="00C24D1B">
        <w:t>all</w:t>
      </w:r>
      <w:r w:rsidRPr="0067100C">
        <w:t xml:space="preserve"> be net of any applicable credits.</w:t>
      </w:r>
    </w:p>
    <w:p w14:paraId="371072A3" w14:textId="5816E81A" w:rsidR="00B024B9" w:rsidRPr="0067100C" w:rsidRDefault="00B024B9" w:rsidP="00C24D1B">
      <w:pPr>
        <w:pStyle w:val="ListBullet"/>
      </w:pPr>
      <w:r w:rsidRPr="0067100C">
        <w:t>Costs charged to federal and similar awards sh</w:t>
      </w:r>
      <w:r w:rsidR="00C24D1B">
        <w:t>all</w:t>
      </w:r>
      <w:r w:rsidRPr="0067100C">
        <w:t xml:space="preserve"> be allowable based on guidance</w:t>
      </w:r>
      <w:r w:rsidR="00C24D1B">
        <w:t>.</w:t>
      </w:r>
      <w:r w:rsidR="00C24D1B">
        <w:rPr>
          <w:rStyle w:val="FootnoteReference"/>
        </w:rPr>
        <w:footnoteReference w:id="30"/>
      </w:r>
      <w:r w:rsidRPr="0067100C">
        <w:t xml:space="preserve"> </w:t>
      </w:r>
    </w:p>
    <w:p w14:paraId="656DD1F4" w14:textId="16608253" w:rsidR="00B024B9" w:rsidRPr="0067100C" w:rsidRDefault="00B024B9" w:rsidP="00C24D1B">
      <w:pPr>
        <w:pStyle w:val="ListBullet"/>
      </w:pPr>
      <w:r w:rsidRPr="0067100C">
        <w:t>Costs sh</w:t>
      </w:r>
      <w:r w:rsidR="00C24D1B">
        <w:t>all</w:t>
      </w:r>
      <w:r w:rsidRPr="0067100C">
        <w:t xml:space="preserve"> be determined in conformity with U</w:t>
      </w:r>
      <w:r w:rsidR="00065DCF">
        <w:t>.</w:t>
      </w:r>
      <w:r w:rsidRPr="0067100C">
        <w:t>S</w:t>
      </w:r>
      <w:r w:rsidR="00065DCF">
        <w:t>.</w:t>
      </w:r>
      <w:r w:rsidRPr="0067100C">
        <w:t xml:space="preserve"> generally accepted accounting principles.</w:t>
      </w:r>
    </w:p>
    <w:p w14:paraId="13E22E07" w14:textId="7F1D33BA" w:rsidR="00D147AC" w:rsidRPr="0067100C" w:rsidRDefault="00D147AC" w:rsidP="00C24D1B">
      <w:pPr>
        <w:pStyle w:val="ListBullet"/>
      </w:pPr>
      <w:r w:rsidRPr="0067100C">
        <w:t xml:space="preserve">Contractors that develop or draft specifications, requirements, statements of work, or invitations for bids or requests for proposals </w:t>
      </w:r>
      <w:r w:rsidR="00C24D1B">
        <w:t>will</w:t>
      </w:r>
      <w:r w:rsidRPr="0067100C">
        <w:t xml:space="preserve"> be excluded from competing for such procurements.</w:t>
      </w:r>
    </w:p>
    <w:p w14:paraId="2BB6EF81" w14:textId="683D40A5" w:rsidR="00D147AC" w:rsidRPr="0067100C" w:rsidRDefault="00D147AC" w:rsidP="00C24D1B">
      <w:pPr>
        <w:pStyle w:val="ListBullet"/>
      </w:pPr>
      <w:r w:rsidRPr="0067100C">
        <w:t>All solicitations sh</w:t>
      </w:r>
      <w:r w:rsidR="00C24D1B">
        <w:t>all</w:t>
      </w:r>
      <w:r w:rsidRPr="0067100C">
        <w:t xml:space="preserve"> include a clear and accurate description of the technical requirements for the material, product, or service to be procured.</w:t>
      </w:r>
    </w:p>
    <w:p w14:paraId="795A4413" w14:textId="27F1E585" w:rsidR="00B024B9" w:rsidRPr="0067100C" w:rsidRDefault="00B024B9" w:rsidP="00C24D1B">
      <w:pPr>
        <w:pStyle w:val="ListBullet"/>
      </w:pPr>
      <w:r w:rsidRPr="0067100C">
        <w:t>Documentation for purchases</w:t>
      </w:r>
      <w:r w:rsidR="00D147AC" w:rsidRPr="0067100C">
        <w:t xml:space="preserve"> will </w:t>
      </w:r>
      <w:r w:rsidRPr="0067100C">
        <w:t>be sufficient for an independent person to determine what was purchased, and for what purpose.</w:t>
      </w:r>
    </w:p>
    <w:p w14:paraId="701C6D93" w14:textId="4BFC1557" w:rsidR="00B024B9" w:rsidRPr="0067100C" w:rsidRDefault="00B024B9" w:rsidP="00C24D1B">
      <w:pPr>
        <w:pStyle w:val="ListBullet"/>
      </w:pPr>
      <w:r w:rsidRPr="0067100C">
        <w:t>Documentation</w:t>
      </w:r>
      <w:r w:rsidR="00D147AC" w:rsidRPr="0067100C">
        <w:t xml:space="preserve"> for purchases sh</w:t>
      </w:r>
      <w:r w:rsidR="00C24D1B">
        <w:t>all</w:t>
      </w:r>
      <w:r w:rsidR="00D147AC" w:rsidRPr="0067100C">
        <w:t xml:space="preserve"> be kept for at least </w:t>
      </w:r>
      <w:r w:rsidRPr="0067100C">
        <w:t>7 years</w:t>
      </w:r>
      <w:r w:rsidR="00D147AC" w:rsidRPr="0067100C">
        <w:t xml:space="preserve"> and sh</w:t>
      </w:r>
      <w:r w:rsidR="00C24D1B">
        <w:t>all</w:t>
      </w:r>
      <w:r w:rsidR="00D147AC" w:rsidRPr="0067100C">
        <w:t xml:space="preserve"> document the rationale for the method of procurement, the selection of the contract type, contractor selection/rejection and basis for the contract price and verification that the contractor is not suspended or debarred</w:t>
      </w:r>
      <w:r w:rsidRPr="0067100C">
        <w:t>.</w:t>
      </w:r>
    </w:p>
    <w:p w14:paraId="0DA48569" w14:textId="77777777" w:rsidR="00B024B9" w:rsidRPr="0067100C" w:rsidRDefault="00B024B9" w:rsidP="00B024B9">
      <w:pPr>
        <w:pStyle w:val="Heading2"/>
        <w:rPr>
          <w:rFonts w:cs="Arial"/>
          <w:szCs w:val="28"/>
        </w:rPr>
      </w:pPr>
      <w:bookmarkStart w:id="238" w:name="_Toc448404238"/>
      <w:r w:rsidRPr="0067100C">
        <w:rPr>
          <w:rFonts w:cs="Arial"/>
          <w:szCs w:val="28"/>
        </w:rPr>
        <w:lastRenderedPageBreak/>
        <w:t>Competition</w:t>
      </w:r>
      <w:bookmarkEnd w:id="238"/>
    </w:p>
    <w:p w14:paraId="1375EF44" w14:textId="42E45679" w:rsidR="00B024B9" w:rsidRPr="0067100C" w:rsidRDefault="00B024B9" w:rsidP="00C24D1B">
      <w:pPr>
        <w:pStyle w:val="BodyText"/>
      </w:pPr>
      <w:r w:rsidRPr="0067100C">
        <w:t>Purchases sh</w:t>
      </w:r>
      <w:r w:rsidR="00C24D1B">
        <w:t>all</w:t>
      </w:r>
      <w:r w:rsidRPr="0067100C">
        <w:t xml:space="preserve"> be conducted in a manner that facilitates competition.</w:t>
      </w:r>
    </w:p>
    <w:p w14:paraId="2E68BD2D" w14:textId="4CD6311B" w:rsidR="00B024B9" w:rsidRPr="0067100C" w:rsidRDefault="00B024B9" w:rsidP="00C24D1B">
      <w:pPr>
        <w:pStyle w:val="BodyText"/>
      </w:pPr>
      <w:r w:rsidRPr="0067100C">
        <w:t>No action sh</w:t>
      </w:r>
      <w:r w:rsidR="00C24D1B">
        <w:t>all</w:t>
      </w:r>
      <w:r w:rsidRPr="0067100C">
        <w:t xml:space="preserve"> be taken to limit competition such as: </w:t>
      </w:r>
    </w:p>
    <w:p w14:paraId="032E270A" w14:textId="25049EEC" w:rsidR="00B024B9" w:rsidRPr="0067100C" w:rsidRDefault="008D78EB" w:rsidP="00C24D1B">
      <w:pPr>
        <w:pStyle w:val="ListBullet2"/>
      </w:pPr>
      <w:r>
        <w:t>P</w:t>
      </w:r>
      <w:r w:rsidR="00B024B9" w:rsidRPr="0067100C">
        <w:t>lacing unreasonable requirements on firms in order for them to qualify</w:t>
      </w:r>
      <w:r>
        <w:t>.</w:t>
      </w:r>
    </w:p>
    <w:p w14:paraId="1C9C6D3F" w14:textId="7A93560F" w:rsidR="00B024B9" w:rsidRPr="0067100C" w:rsidRDefault="008D78EB" w:rsidP="00C24D1B">
      <w:pPr>
        <w:pStyle w:val="ListBullet2"/>
      </w:pPr>
      <w:r>
        <w:t>R</w:t>
      </w:r>
      <w:r w:rsidR="00B024B9" w:rsidRPr="0067100C">
        <w:t>equiring unnecessary experience or excessive bonding</w:t>
      </w:r>
      <w:r>
        <w:t>.</w:t>
      </w:r>
      <w:r w:rsidR="00B024B9" w:rsidRPr="0067100C">
        <w:t xml:space="preserve"> </w:t>
      </w:r>
    </w:p>
    <w:p w14:paraId="65308D1B" w14:textId="38A039ED" w:rsidR="00C24D1B" w:rsidRDefault="008D78EB" w:rsidP="00C24D1B">
      <w:pPr>
        <w:pStyle w:val="ListBullet2"/>
      </w:pPr>
      <w:r>
        <w:t>S</w:t>
      </w:r>
      <w:r w:rsidR="00B024B9" w:rsidRPr="0067100C">
        <w:t>pecifying a brand name</w:t>
      </w:r>
      <w:r w:rsidR="00C24D1B">
        <w:t xml:space="preserve"> instead of allowing an equal product to be offered</w:t>
      </w:r>
      <w:r>
        <w:t>.</w:t>
      </w:r>
    </w:p>
    <w:p w14:paraId="3817CFB9" w14:textId="21863A38" w:rsidR="00B024B9" w:rsidRPr="0067100C" w:rsidRDefault="008D78EB" w:rsidP="00C24D1B">
      <w:pPr>
        <w:pStyle w:val="ListBullet2"/>
      </w:pPr>
      <w:r>
        <w:t>A</w:t>
      </w:r>
      <w:r w:rsidR="00C24D1B">
        <w:t>ny arbitrary action in the procurement process.</w:t>
      </w:r>
    </w:p>
    <w:p w14:paraId="0D7EB368" w14:textId="523E840F" w:rsidR="00B024B9" w:rsidRPr="0067100C" w:rsidRDefault="00B024B9" w:rsidP="00C24D1B">
      <w:pPr>
        <w:pStyle w:val="BodyText"/>
        <w:rPr>
          <w:rFonts w:cs="Arial"/>
        </w:rPr>
      </w:pPr>
      <w:r w:rsidRPr="0067100C">
        <w:t>Purchase solicitation sh</w:t>
      </w:r>
      <w:r w:rsidR="00C24D1B">
        <w:t>all</w:t>
      </w:r>
      <w:r w:rsidRPr="0067100C">
        <w:t xml:space="preserve"> identify requirements that are to be fulfilled, and sh</w:t>
      </w:r>
      <w:r w:rsidR="00C24D1B">
        <w:t>all</w:t>
      </w:r>
      <w:r w:rsidRPr="0067100C">
        <w:t xml:space="preserve"> incorporate a clear and accurate description of the item o</w:t>
      </w:r>
      <w:r w:rsidR="00C24D1B">
        <w:t>r</w:t>
      </w:r>
      <w:r w:rsidRPr="0067100C">
        <w:t xml:space="preserve"> service to be procured.</w:t>
      </w:r>
    </w:p>
    <w:p w14:paraId="50B55487" w14:textId="77777777" w:rsidR="00B024B9" w:rsidRDefault="00B024B9" w:rsidP="00B024B9">
      <w:pPr>
        <w:pStyle w:val="Heading2"/>
      </w:pPr>
      <w:bookmarkStart w:id="239" w:name="_Toc448404239"/>
      <w:r>
        <w:t>Purchase Thresholds</w:t>
      </w:r>
      <w:bookmarkEnd w:id="239"/>
    </w:p>
    <w:p w14:paraId="1110BC69" w14:textId="77777777" w:rsidR="00D147AC" w:rsidRPr="0067100C" w:rsidRDefault="00B024B9" w:rsidP="00C24D1B">
      <w:pPr>
        <w:pStyle w:val="BodyText"/>
      </w:pPr>
      <w:r w:rsidRPr="0067100C">
        <w:t xml:space="preserve">Requirements vary based on the size of the purchase. </w:t>
      </w:r>
    </w:p>
    <w:p w14:paraId="485DE299" w14:textId="77777777" w:rsidR="002F0E31" w:rsidRDefault="00B024B9" w:rsidP="00C24D1B">
      <w:pPr>
        <w:pStyle w:val="BodyText"/>
      </w:pPr>
      <w:r w:rsidRPr="00443A2E">
        <w:rPr>
          <w:rStyle w:val="EmphasisUnderline"/>
        </w:rPr>
        <w:t>Micro purchases</w:t>
      </w:r>
      <w:r w:rsidRPr="0067100C">
        <w:t xml:space="preserve"> of supplies or services are those that do not exceed $</w:t>
      </w:r>
      <w:r w:rsidR="00D147AC" w:rsidRPr="0067100C">
        <w:t>3,500</w:t>
      </w:r>
      <w:r w:rsidRPr="0067100C">
        <w:t xml:space="preserve"> (these limits will be updated periodically</w:t>
      </w:r>
      <w:r w:rsidR="002F0E31">
        <w:rPr>
          <w:rStyle w:val="FootnoteReference"/>
        </w:rPr>
        <w:footnoteReference w:id="31"/>
      </w:r>
      <w:r w:rsidRPr="0067100C">
        <w:t xml:space="preserve">). </w:t>
      </w:r>
    </w:p>
    <w:p w14:paraId="495CDE76" w14:textId="54CAD069" w:rsidR="00B024B9" w:rsidRPr="0067100C" w:rsidRDefault="00B024B9" w:rsidP="00C24D1B">
      <w:pPr>
        <w:pStyle w:val="BodyText"/>
      </w:pPr>
      <w:r w:rsidRPr="00443A2E">
        <w:rPr>
          <w:rStyle w:val="EmphasisUnderline"/>
        </w:rPr>
        <w:t>Small purchase requirements</w:t>
      </w:r>
      <w:r w:rsidRPr="0067100C">
        <w:t xml:space="preserve"> apply</w:t>
      </w:r>
      <w:r w:rsidR="00D147AC" w:rsidRPr="0067100C">
        <w:t xml:space="preserve"> when purchases are between $3500 and $150,000 (the current level of the </w:t>
      </w:r>
      <w:r w:rsidRPr="0067100C">
        <w:t>Simplified Acquisition Threshold). These amounts will be indexed for inflation.</w:t>
      </w:r>
      <w:r w:rsidR="003D06A8" w:rsidRPr="0067100C">
        <w:t xml:space="preserve"> </w:t>
      </w:r>
    </w:p>
    <w:p w14:paraId="6D98E4AE" w14:textId="5C897AE0" w:rsidR="002F0E31" w:rsidRDefault="00B024B9" w:rsidP="002F0E31">
      <w:pPr>
        <w:pStyle w:val="ListBullet"/>
      </w:pPr>
      <w:r w:rsidRPr="0067100C">
        <w:t>Micro purchases sh</w:t>
      </w:r>
      <w:r w:rsidR="002F0E31">
        <w:t>all</w:t>
      </w:r>
      <w:r w:rsidRPr="0067100C">
        <w:t xml:space="preserve"> be distributed among qualified suppliers but don’t generally require competitive quotations.</w:t>
      </w:r>
    </w:p>
    <w:p w14:paraId="56809CD8" w14:textId="77777777" w:rsidR="002F0E31" w:rsidRDefault="00B024B9" w:rsidP="00A41BE4">
      <w:pPr>
        <w:pStyle w:val="ListBullet"/>
      </w:pPr>
      <w:r w:rsidRPr="0067100C">
        <w:t>Small purchases will be made only after price or rate quotations are obtained from an adequate number of qualified sources. Prices can be obtained from published or online price lists</w:t>
      </w:r>
      <w:r w:rsidR="002F0E31">
        <w:t>.</w:t>
      </w:r>
    </w:p>
    <w:p w14:paraId="7D6B1868" w14:textId="7876BAC1" w:rsidR="00B024B9" w:rsidRPr="0067100C" w:rsidRDefault="00B024B9" w:rsidP="002C2DCC">
      <w:pPr>
        <w:pStyle w:val="BodyText"/>
      </w:pPr>
      <w:r w:rsidRPr="0067100C">
        <w:t>Purchases in excess of the Simplified Acquisition Threshold, including services, equipment or supplies, purchases, leased or contracted for require a cost or price analysis</w:t>
      </w:r>
      <w:r w:rsidR="00D30D28" w:rsidRPr="0067100C">
        <w:t xml:space="preserve"> (costs analysis evaluates cost components, price analysis evaluates the total price)</w:t>
      </w:r>
      <w:r w:rsidRPr="0067100C">
        <w:t>. These purchases sh</w:t>
      </w:r>
      <w:r w:rsidR="002F0E31">
        <w:t>all</w:t>
      </w:r>
      <w:r w:rsidRPr="0067100C">
        <w:t xml:space="preserve"> be made only after receiving, whenever possible, quotations from at least three vendors. Selections shall be recommended to the (finance director, CFO CEO) for approval with quotations attached.</w:t>
      </w:r>
      <w:r w:rsidR="008D78EB">
        <w:t xml:space="preserve"> </w:t>
      </w:r>
      <w:r w:rsidRPr="0067100C">
        <w:t>Recommendation and selection sh</w:t>
      </w:r>
      <w:r w:rsidR="002F0E31">
        <w:t>all</w:t>
      </w:r>
      <w:r w:rsidRPr="0067100C">
        <w:t xml:space="preserve"> be based on the following criteria:</w:t>
      </w:r>
    </w:p>
    <w:p w14:paraId="10943C01" w14:textId="289B9505" w:rsidR="00B024B9" w:rsidRPr="0067100C" w:rsidRDefault="008D78EB" w:rsidP="002C2DCC">
      <w:pPr>
        <w:pStyle w:val="ListBullet"/>
      </w:pPr>
      <w:r>
        <w:t>A</w:t>
      </w:r>
      <w:r w:rsidR="00B024B9" w:rsidRPr="0067100C">
        <w:t xml:space="preserve"> clear and accurate description of the product or service to be purchased</w:t>
      </w:r>
    </w:p>
    <w:p w14:paraId="21CEAD56" w14:textId="73B0B6FB" w:rsidR="00B024B9" w:rsidRPr="0067100C" w:rsidRDefault="008D78EB" w:rsidP="002C2DCC">
      <w:pPr>
        <w:pStyle w:val="ListBullet"/>
      </w:pPr>
      <w:r>
        <w:t>S</w:t>
      </w:r>
      <w:r w:rsidR="00B024B9" w:rsidRPr="0067100C">
        <w:t>kill and experience of key personnel</w:t>
      </w:r>
    </w:p>
    <w:p w14:paraId="10DC6DD9" w14:textId="5D68B70A" w:rsidR="00B024B9" w:rsidRPr="0067100C" w:rsidRDefault="008D78EB" w:rsidP="002C2DCC">
      <w:pPr>
        <w:pStyle w:val="ListBullet"/>
      </w:pPr>
      <w:r>
        <w:t>E</w:t>
      </w:r>
      <w:r w:rsidR="00B024B9" w:rsidRPr="0067100C">
        <w:t>xperience providing products or services to THE ORGANIZATION</w:t>
      </w:r>
    </w:p>
    <w:p w14:paraId="736EDABF" w14:textId="1542DE37" w:rsidR="00B024B9" w:rsidRPr="0067100C" w:rsidRDefault="008D78EB" w:rsidP="002C2DCC">
      <w:pPr>
        <w:pStyle w:val="ListBullet"/>
      </w:pPr>
      <w:r>
        <w:t>A</w:t>
      </w:r>
      <w:r w:rsidR="00B024B9" w:rsidRPr="0067100C">
        <w:t>ny specific requirements we have included in our solicitation of bids</w:t>
      </w:r>
    </w:p>
    <w:p w14:paraId="7ECAC513" w14:textId="4153A6D1" w:rsidR="00B024B9" w:rsidRPr="0067100C" w:rsidRDefault="008D78EB" w:rsidP="002C2DCC">
      <w:pPr>
        <w:pStyle w:val="ListBullet"/>
      </w:pPr>
      <w:r>
        <w:t>D</w:t>
      </w:r>
      <w:r w:rsidR="00B024B9" w:rsidRPr="0067100C">
        <w:t>emonstrated commitment to the nonprofit sector</w:t>
      </w:r>
    </w:p>
    <w:p w14:paraId="43F75520" w14:textId="41337AAA" w:rsidR="00B024B9" w:rsidRPr="0067100C" w:rsidRDefault="008D78EB" w:rsidP="002C2DCC">
      <w:pPr>
        <w:pStyle w:val="ListBullet"/>
      </w:pPr>
      <w:r>
        <w:lastRenderedPageBreak/>
        <w:t>I</w:t>
      </w:r>
      <w:r w:rsidR="00B024B9" w:rsidRPr="0067100C">
        <w:t xml:space="preserve">nformation received from vendor references </w:t>
      </w:r>
    </w:p>
    <w:p w14:paraId="028983C5" w14:textId="6EF5A452" w:rsidR="00B024B9" w:rsidRPr="0067100C" w:rsidRDefault="008D78EB" w:rsidP="002C2DCC">
      <w:pPr>
        <w:pStyle w:val="ListBullet"/>
      </w:pPr>
      <w:r>
        <w:t>C</w:t>
      </w:r>
      <w:r w:rsidR="00B024B9" w:rsidRPr="0067100C">
        <w:t>ommitment to our time deadlines</w:t>
      </w:r>
    </w:p>
    <w:p w14:paraId="7090D98E" w14:textId="60ADD273" w:rsidR="00B024B9" w:rsidRPr="0067100C" w:rsidRDefault="008D78EB" w:rsidP="002C2DCC">
      <w:pPr>
        <w:pStyle w:val="ListBullet"/>
      </w:pPr>
      <w:r>
        <w:t>C</w:t>
      </w:r>
      <w:r w:rsidR="00B024B9" w:rsidRPr="0067100C">
        <w:t>ost</w:t>
      </w:r>
    </w:p>
    <w:p w14:paraId="7FF7173E" w14:textId="076F7EF1" w:rsidR="00B024B9" w:rsidRPr="0067100C" w:rsidRDefault="008D78EB" w:rsidP="002C2DCC">
      <w:pPr>
        <w:pStyle w:val="ListBullet"/>
      </w:pPr>
      <w:r>
        <w:t>W</w:t>
      </w:r>
      <w:r w:rsidR="00B024B9" w:rsidRPr="0067100C">
        <w:t>oman- or minority-owned business or qualified small business</w:t>
      </w:r>
    </w:p>
    <w:p w14:paraId="491B3FAB" w14:textId="486E4532" w:rsidR="00A41BE4" w:rsidRDefault="008D78EB" w:rsidP="002C2DCC">
      <w:pPr>
        <w:pStyle w:val="ListBullet"/>
      </w:pPr>
      <w:r>
        <w:t>P</w:t>
      </w:r>
      <w:r w:rsidR="00B024B9" w:rsidRPr="0067100C">
        <w:t>reference for products and services that conserve natural resources and protect the environment</w:t>
      </w:r>
      <w:r>
        <w:t>, to the extent possible</w:t>
      </w:r>
      <w:r w:rsidR="00A41BE4">
        <w:t xml:space="preserve"> </w:t>
      </w:r>
    </w:p>
    <w:p w14:paraId="1D1DA80D" w14:textId="77777777" w:rsidR="00A41BE4" w:rsidRPr="00A41BE4" w:rsidRDefault="00B024B9" w:rsidP="002C2DCC">
      <w:pPr>
        <w:pStyle w:val="BodyText"/>
        <w:rPr>
          <w:rFonts w:cs="Arial"/>
        </w:rPr>
      </w:pPr>
      <w:r w:rsidRPr="0067100C">
        <w:t>Construction services sh</w:t>
      </w:r>
      <w:r w:rsidR="00977E4C">
        <w:t>all</w:t>
      </w:r>
      <w:r w:rsidRPr="0067100C">
        <w:t xml:space="preserve"> be procured by sealed bids following formal advertising. Contracts sh</w:t>
      </w:r>
      <w:r w:rsidR="00977E4C">
        <w:t>all</w:t>
      </w:r>
      <w:r w:rsidRPr="0067100C">
        <w:t xml:space="preserve"> be awarded to the responsible bidder whose bid conforms with all the material terms and conditions of the request for bids and is the lowest in price.</w:t>
      </w:r>
      <w:r w:rsidR="00A41BE4">
        <w:t xml:space="preserve"> </w:t>
      </w:r>
    </w:p>
    <w:p w14:paraId="2B5D38FC" w14:textId="15C4C61A" w:rsidR="00B024B9" w:rsidRPr="0067100C" w:rsidRDefault="00B024B9" w:rsidP="002C2DCC">
      <w:pPr>
        <w:pStyle w:val="BodyText"/>
        <w:rPr>
          <w:rFonts w:cs="Arial"/>
        </w:rPr>
      </w:pPr>
      <w:r w:rsidRPr="0067100C">
        <w:t>Vendor contracts shall include a written statement that they have not been suspended or d</w:t>
      </w:r>
      <w:r w:rsidR="00A41BE4">
        <w:t>e</w:t>
      </w:r>
      <w:r w:rsidRPr="0067100C">
        <w:t>barred from doing business with any federal agency.</w:t>
      </w:r>
      <w:r w:rsidR="00D30D28" w:rsidRPr="0067100C">
        <w:t xml:space="preserve"> Alternatively the Organization sh</w:t>
      </w:r>
      <w:r w:rsidR="00A41BE4">
        <w:t>all</w:t>
      </w:r>
      <w:r w:rsidR="00D30D28" w:rsidRPr="0067100C">
        <w:t xml:space="preserve"> check the SAM (System for Award </w:t>
      </w:r>
      <w:r w:rsidR="00D30D28" w:rsidRPr="00FC6DA2">
        <w:t>Management https://www.sam.gov/index.html)</w:t>
      </w:r>
      <w:r w:rsidR="00D30D28" w:rsidRPr="0067100C">
        <w:t xml:space="preserve"> vendor database</w:t>
      </w:r>
      <w:r w:rsidR="00A41BE4">
        <w:t xml:space="preserve">. </w:t>
      </w:r>
      <w:r w:rsidRPr="0067100C">
        <w:t>Davis-Bacon prevailing wage requirements for construction contracts must be met if required by the federal award.</w:t>
      </w:r>
    </w:p>
    <w:p w14:paraId="325FE26E" w14:textId="77777777" w:rsidR="00B024B9" w:rsidRPr="0067100C" w:rsidRDefault="005F1095" w:rsidP="001C5DFC">
      <w:pPr>
        <w:pStyle w:val="Heading3"/>
      </w:pPr>
      <w:bookmarkStart w:id="240" w:name="_Toc448404240"/>
      <w:r w:rsidRPr="0067100C">
        <w:t>Exceptions to Competitive Bidding</w:t>
      </w:r>
      <w:bookmarkEnd w:id="240"/>
    </w:p>
    <w:p w14:paraId="439CA844" w14:textId="77777777" w:rsidR="00B024B9" w:rsidRPr="0067100C" w:rsidRDefault="00B024B9" w:rsidP="00836F20">
      <w:pPr>
        <w:pStyle w:val="BodyText"/>
      </w:pPr>
      <w:r w:rsidRPr="0067100C">
        <w:t>Competitive bidding will not be required in certain limited circumstances including:</w:t>
      </w:r>
    </w:p>
    <w:p w14:paraId="6BF01B3B" w14:textId="7989EFDA" w:rsidR="00B024B9" w:rsidRPr="0067100C" w:rsidRDefault="008D78EB" w:rsidP="00315F77">
      <w:pPr>
        <w:pStyle w:val="ListBullet"/>
      </w:pPr>
      <w:r>
        <w:t>T</w:t>
      </w:r>
      <w:r w:rsidR="00B024B9" w:rsidRPr="0067100C">
        <w:t>he item is available only from a single source</w:t>
      </w:r>
      <w:r>
        <w:t>.</w:t>
      </w:r>
    </w:p>
    <w:p w14:paraId="7551A12A" w14:textId="3BC364D9" w:rsidR="00B024B9" w:rsidRPr="0067100C" w:rsidRDefault="008D78EB" w:rsidP="00315F77">
      <w:pPr>
        <w:pStyle w:val="ListBullet"/>
      </w:pPr>
      <w:r>
        <w:t>A</w:t>
      </w:r>
      <w:r w:rsidR="00B024B9" w:rsidRPr="0067100C">
        <w:t>n emergency or urgent need will not permit a delay for competitive selection</w:t>
      </w:r>
      <w:r>
        <w:t>.</w:t>
      </w:r>
    </w:p>
    <w:p w14:paraId="57A0B67A" w14:textId="5200ACD3" w:rsidR="00B024B9" w:rsidRPr="0067100C" w:rsidRDefault="008D78EB" w:rsidP="00315F77">
      <w:pPr>
        <w:pStyle w:val="ListBullet"/>
      </w:pPr>
      <w:r>
        <w:t>S</w:t>
      </w:r>
      <w:r w:rsidR="00B024B9" w:rsidRPr="0067100C">
        <w:t>taff or client health, welfare, or safety does not permit a delay for competitive selection</w:t>
      </w:r>
      <w:r>
        <w:t>.</w:t>
      </w:r>
    </w:p>
    <w:p w14:paraId="4B8547A7" w14:textId="7EF30C3D" w:rsidR="00B024B9" w:rsidRPr="0067100C" w:rsidRDefault="008D78EB" w:rsidP="00315F77">
      <w:pPr>
        <w:pStyle w:val="ListBullet"/>
      </w:pPr>
      <w:r>
        <w:t>A</w:t>
      </w:r>
      <w:r w:rsidR="00B024B9" w:rsidRPr="0067100C">
        <w:t>fter solicitation of a number of sources, competition is deemed to be inadequate.</w:t>
      </w:r>
    </w:p>
    <w:p w14:paraId="531AA9A2" w14:textId="7959A105" w:rsidR="00B024B9" w:rsidRPr="0067100C" w:rsidRDefault="00B024B9" w:rsidP="001C5DFC">
      <w:pPr>
        <w:pStyle w:val="BodyText"/>
      </w:pPr>
      <w:r w:rsidRPr="0067100C">
        <w:t>A written explanation sh</w:t>
      </w:r>
      <w:r w:rsidR="00315F77">
        <w:t>all</w:t>
      </w:r>
      <w:r w:rsidRPr="0067100C">
        <w:t xml:space="preserve"> be prepared and maintained whenever a normally required competitive selection is not used.</w:t>
      </w:r>
    </w:p>
    <w:p w14:paraId="0181D8AF" w14:textId="77777777" w:rsidR="00B024B9" w:rsidRPr="0067100C" w:rsidRDefault="00B024B9" w:rsidP="001C5DFC">
      <w:pPr>
        <w:pStyle w:val="BodyText"/>
      </w:pPr>
      <w:r w:rsidRPr="0067100C">
        <w:t>Documentation of the basis for contractor selection shall be retained when competitive bidding is performed. Documentation for why competitive bidding was not done shall be retained.</w:t>
      </w:r>
    </w:p>
    <w:p w14:paraId="655FB73B" w14:textId="13D7C407" w:rsidR="00B024B9" w:rsidRPr="005105A9" w:rsidRDefault="005F1095" w:rsidP="005105A9">
      <w:pPr>
        <w:pStyle w:val="Heading3"/>
      </w:pPr>
      <w:bookmarkStart w:id="241" w:name="_Toc448404241"/>
      <w:r w:rsidRPr="0067100C">
        <w:t>Minority Businesses and Woman-Owned Businesses</w:t>
      </w:r>
      <w:bookmarkEnd w:id="241"/>
    </w:p>
    <w:p w14:paraId="2405503D" w14:textId="77777777" w:rsidR="00B024B9" w:rsidRPr="0067100C" w:rsidRDefault="00B024B9" w:rsidP="008E6C3C">
      <w:pPr>
        <w:pStyle w:val="BodyText"/>
      </w:pPr>
      <w:r w:rsidRPr="0067100C">
        <w:t>The organization will take affirmative steps to encourage minority businesses, woman’s business enterprises and labor surplus area firms to be used including:</w:t>
      </w:r>
    </w:p>
    <w:p w14:paraId="7AE40D06" w14:textId="3648F94C" w:rsidR="00B024B9" w:rsidRPr="0067100C" w:rsidRDefault="00315F77" w:rsidP="00315F77">
      <w:pPr>
        <w:pStyle w:val="ListBullet"/>
      </w:pPr>
      <w:r>
        <w:t>I</w:t>
      </w:r>
      <w:r w:rsidR="00B024B9" w:rsidRPr="0067100C">
        <w:t>dentifying qualified organizations</w:t>
      </w:r>
      <w:r>
        <w:t>.</w:t>
      </w:r>
    </w:p>
    <w:p w14:paraId="19D4895B" w14:textId="2890A470" w:rsidR="00B024B9" w:rsidRPr="0067100C" w:rsidRDefault="00315F77" w:rsidP="00315F77">
      <w:pPr>
        <w:pStyle w:val="ListBullet"/>
      </w:pPr>
      <w:r>
        <w:t>S</w:t>
      </w:r>
      <w:r w:rsidR="00B024B9" w:rsidRPr="0067100C">
        <w:t>oliciting from these organizations</w:t>
      </w:r>
      <w:r>
        <w:t>.</w:t>
      </w:r>
    </w:p>
    <w:p w14:paraId="09A62A60" w14:textId="50012FA2" w:rsidR="00B024B9" w:rsidRPr="0067100C" w:rsidRDefault="00315F77" w:rsidP="00315F77">
      <w:pPr>
        <w:pStyle w:val="ListBullet"/>
      </w:pPr>
      <w:r>
        <w:t>D</w:t>
      </w:r>
      <w:r w:rsidR="00B024B9" w:rsidRPr="0067100C">
        <w:t>ividing total requirements, when economically feasible, into smaller tasks to permit maximum participation by these organizations</w:t>
      </w:r>
      <w:r>
        <w:t>.</w:t>
      </w:r>
    </w:p>
    <w:p w14:paraId="76DFD56C" w14:textId="57880E78" w:rsidR="00B024B9" w:rsidRPr="005105A9" w:rsidRDefault="005F1095" w:rsidP="005105A9">
      <w:pPr>
        <w:pStyle w:val="Heading3"/>
      </w:pPr>
      <w:bookmarkStart w:id="242" w:name="_Toc448404242"/>
      <w:r w:rsidRPr="0067100C">
        <w:lastRenderedPageBreak/>
        <w:t>Uncertainties and Violations</w:t>
      </w:r>
      <w:bookmarkEnd w:id="242"/>
    </w:p>
    <w:p w14:paraId="4791CE63" w14:textId="5681862D" w:rsidR="00B024B9" w:rsidRPr="0067100C" w:rsidRDefault="00B024B9" w:rsidP="008E6C3C">
      <w:pPr>
        <w:pStyle w:val="BodyText"/>
      </w:pPr>
      <w:r w:rsidRPr="0067100C">
        <w:t xml:space="preserve">Any questions regarding compliance with this policy should be directed to the CFO or the CEO. </w:t>
      </w:r>
    </w:p>
    <w:p w14:paraId="18F5DF50" w14:textId="08075CFB" w:rsidR="00B024B9" w:rsidRPr="0067100C" w:rsidRDefault="00B024B9" w:rsidP="008E6C3C">
      <w:pPr>
        <w:pStyle w:val="BodyText"/>
      </w:pPr>
      <w:r w:rsidRPr="0067100C">
        <w:t xml:space="preserve">Deliberate violations of any aspect of this policy will be subject to disciplinary action including possible termination. </w:t>
      </w:r>
    </w:p>
    <w:p w14:paraId="2B84B9C2" w14:textId="77777777" w:rsidR="00B934C4" w:rsidRDefault="00B934C4" w:rsidP="00B934C4">
      <w:pPr>
        <w:pStyle w:val="Heading2"/>
      </w:pPr>
      <w:bookmarkStart w:id="243" w:name="_Toc352681848"/>
      <w:bookmarkStart w:id="244" w:name="_Toc352773510"/>
      <w:bookmarkStart w:id="245" w:name="_Toc352773610"/>
      <w:bookmarkStart w:id="246" w:name="_Toc448404243"/>
      <w:r>
        <w:t>Program Income</w:t>
      </w:r>
      <w:bookmarkEnd w:id="243"/>
      <w:bookmarkEnd w:id="244"/>
      <w:bookmarkEnd w:id="245"/>
      <w:bookmarkEnd w:id="246"/>
    </w:p>
    <w:p w14:paraId="1DD71C13" w14:textId="18393FF8" w:rsidR="00B934C4" w:rsidRDefault="00D46FFA" w:rsidP="00B934C4">
      <w:pPr>
        <w:pStyle w:val="BodyText"/>
      </w:pPr>
      <w:r>
        <w:t xml:space="preserve">Program income is generated when the CIL receives payments for training, services provided or other similar income. </w:t>
      </w:r>
      <w:r w:rsidR="00B934C4">
        <w:t xml:space="preserve">If the </w:t>
      </w:r>
      <w:r w:rsidR="00A953C8">
        <w:t>CIL</w:t>
      </w:r>
      <w:r w:rsidR="00B934C4">
        <w:t xml:space="preserve"> receives any program income for programs that are federally funded, the source and application of program income will be tracked to ensure that it is expended only on allocable and allowable costs. Specifically, program income will be added to the funds committed to the project by the federal awarding agency to further eligible project or program objectives or deducted from the total project or program allowable costs in determining the net allowable costs on which the federal share of cost is based.</w:t>
      </w:r>
      <w:r w:rsidR="00C32904">
        <w:rPr>
          <w:rStyle w:val="FootnoteReference"/>
        </w:rPr>
        <w:footnoteReference w:id="32"/>
      </w:r>
      <w:r w:rsidR="00B934C4">
        <w:t xml:space="preserve"> </w:t>
      </w:r>
      <w:r w:rsidR="00544637">
        <w:t>Program income will be reported on the Federal Financial Reports.</w:t>
      </w:r>
    </w:p>
    <w:p w14:paraId="605CBB26" w14:textId="77777777" w:rsidR="00696E13" w:rsidRPr="00E70003" w:rsidRDefault="00696E13" w:rsidP="000B2CF8">
      <w:pPr>
        <w:pStyle w:val="Heading2"/>
      </w:pPr>
      <w:bookmarkStart w:id="247" w:name="_Toc347934450"/>
      <w:bookmarkStart w:id="248" w:name="_Toc352681849"/>
      <w:bookmarkStart w:id="249" w:name="_Toc352773511"/>
      <w:bookmarkStart w:id="250" w:name="_Toc352773611"/>
      <w:bookmarkStart w:id="251" w:name="_Toc448404244"/>
      <w:r w:rsidRPr="00E70003">
        <w:t>Property and Equipment</w:t>
      </w:r>
      <w:bookmarkEnd w:id="235"/>
      <w:bookmarkEnd w:id="236"/>
      <w:bookmarkEnd w:id="247"/>
      <w:bookmarkEnd w:id="248"/>
      <w:bookmarkEnd w:id="249"/>
      <w:bookmarkEnd w:id="250"/>
      <w:bookmarkEnd w:id="251"/>
    </w:p>
    <w:p w14:paraId="60848E20" w14:textId="089D619D" w:rsidR="00696E13" w:rsidRPr="00E70003" w:rsidRDefault="00696E13" w:rsidP="00E70003">
      <w:pPr>
        <w:pStyle w:val="BodyText"/>
      </w:pPr>
      <w:r w:rsidRPr="00E70003">
        <w:t>Property and equipme</w:t>
      </w:r>
      <w:r w:rsidR="00EF0A29">
        <w:t>nt</w:t>
      </w:r>
      <w:r w:rsidR="00D9799B">
        <w:rPr>
          <w:rStyle w:val="FootnoteReference"/>
        </w:rPr>
        <w:footnoteReference w:id="33"/>
      </w:r>
      <w:r w:rsidR="00EF0A29">
        <w:t xml:space="preserve"> include</w:t>
      </w:r>
      <w:r w:rsidRPr="00E70003">
        <w:t xml:space="preserve"> items such as:</w:t>
      </w:r>
    </w:p>
    <w:p w14:paraId="584D3BFD" w14:textId="77777777" w:rsidR="00485EB8" w:rsidRDefault="00696E13" w:rsidP="00DB3B1A">
      <w:pPr>
        <w:pStyle w:val="ListBullet"/>
      </w:pPr>
      <w:r w:rsidRPr="00E70003">
        <w:t>Office furniture and equipment</w:t>
      </w:r>
    </w:p>
    <w:p w14:paraId="26033500" w14:textId="77777777" w:rsidR="00485EB8" w:rsidRDefault="00696E13" w:rsidP="00DB3B1A">
      <w:pPr>
        <w:pStyle w:val="ListBullet"/>
      </w:pPr>
      <w:r w:rsidRPr="00E70003">
        <w:t>Computer hardware</w:t>
      </w:r>
    </w:p>
    <w:p w14:paraId="6414FD8A" w14:textId="77777777" w:rsidR="00485EB8" w:rsidRDefault="00696E13" w:rsidP="00DB3B1A">
      <w:pPr>
        <w:pStyle w:val="ListBullet"/>
      </w:pPr>
      <w:r w:rsidRPr="00E70003">
        <w:t>Computer software</w:t>
      </w:r>
    </w:p>
    <w:p w14:paraId="144F8E59" w14:textId="77777777" w:rsidR="00485EB8" w:rsidRDefault="00696E13" w:rsidP="00DB3B1A">
      <w:pPr>
        <w:pStyle w:val="ListBullet"/>
      </w:pPr>
      <w:r w:rsidRPr="00E70003">
        <w:t>Leasehold improvements</w:t>
      </w:r>
    </w:p>
    <w:p w14:paraId="464854FB" w14:textId="5F039560" w:rsidR="001E3BB0" w:rsidRDefault="00696E13" w:rsidP="008E6C3C">
      <w:pPr>
        <w:pStyle w:val="BodyText"/>
      </w:pPr>
      <w:r w:rsidRPr="00E70003">
        <w:t xml:space="preserve">It is the </w:t>
      </w:r>
      <w:r w:rsidR="00A05C60">
        <w:t>CIL</w:t>
      </w:r>
      <w:r w:rsidRPr="00E70003">
        <w:t xml:space="preserve">’s policy to capitalize all items </w:t>
      </w:r>
      <w:r w:rsidR="003B66A5">
        <w:t>that</w:t>
      </w:r>
      <w:r w:rsidR="003B66A5" w:rsidRPr="00E70003">
        <w:t xml:space="preserve"> </w:t>
      </w:r>
      <w:r w:rsidRPr="00E70003">
        <w:t>have a unit cost greater than $</w:t>
      </w:r>
      <w:r w:rsidR="002D5600" w:rsidRPr="00E70003">
        <w:t>1</w:t>
      </w:r>
      <w:r w:rsidRPr="00E70003">
        <w:t>,000</w:t>
      </w:r>
      <w:r w:rsidR="001E3BB0">
        <w:rPr>
          <w:rStyle w:val="FootnoteReference"/>
        </w:rPr>
        <w:footnoteReference w:id="34"/>
      </w:r>
      <w:r w:rsidR="001E3BB0">
        <w:t xml:space="preserve"> </w:t>
      </w:r>
      <w:r w:rsidR="002D5600" w:rsidRPr="00E70003">
        <w:t>and a useful life of more than</w:t>
      </w:r>
      <w:r w:rsidR="008D76A9">
        <w:t xml:space="preserve"> one year</w:t>
      </w:r>
      <w:r w:rsidRPr="00E70003">
        <w:t xml:space="preserve">. Items purchased with a value or cost less than one thousand dollars and a useful life </w:t>
      </w:r>
      <w:r w:rsidR="002D5600" w:rsidRPr="00E70003">
        <w:t xml:space="preserve">not </w:t>
      </w:r>
      <w:r w:rsidRPr="00E70003">
        <w:t xml:space="preserve">exceeding </w:t>
      </w:r>
      <w:r w:rsidR="008D76A9">
        <w:t>one year</w:t>
      </w:r>
      <w:r w:rsidRPr="00E70003">
        <w:t xml:space="preserve"> will be expensed in the period purchased.</w:t>
      </w:r>
    </w:p>
    <w:p w14:paraId="71353A84" w14:textId="378D6429" w:rsidR="00696E13" w:rsidRPr="004635CD" w:rsidRDefault="00696E13" w:rsidP="007823A2">
      <w:pPr>
        <w:pStyle w:val="Bodytextbeforetable"/>
      </w:pPr>
      <w:r w:rsidRPr="004635CD">
        <w:t>The</w:t>
      </w:r>
      <w:r w:rsidR="00FB0A72" w:rsidRPr="004635CD">
        <w:t xml:space="preserve"> depreciation </w:t>
      </w:r>
      <w:r w:rsidRPr="004635CD">
        <w:t>period for capitalized assets is as follows:</w:t>
      </w:r>
    </w:p>
    <w:tbl>
      <w:tblPr>
        <w:tblStyle w:val="TableGrid"/>
        <w:tblW w:w="0" w:type="auto"/>
        <w:tblInd w:w="1728" w:type="dxa"/>
        <w:shd w:val="clear" w:color="auto" w:fill="CDD9C7"/>
        <w:tblLook w:val="04A0" w:firstRow="1" w:lastRow="0" w:firstColumn="1" w:lastColumn="0" w:noHBand="0" w:noVBand="1"/>
        <w:tblCaption w:val="Depreciation Period for Capitalized Assets"/>
      </w:tblPr>
      <w:tblGrid>
        <w:gridCol w:w="3060"/>
        <w:gridCol w:w="2250"/>
      </w:tblGrid>
      <w:tr w:rsidR="008B7E47" w14:paraId="60B2DAD9" w14:textId="77777777" w:rsidTr="00727732">
        <w:trPr>
          <w:tblHeader/>
        </w:trPr>
        <w:tc>
          <w:tcPr>
            <w:tcW w:w="3060" w:type="dxa"/>
            <w:shd w:val="clear" w:color="auto" w:fill="CDD9C7"/>
          </w:tcPr>
          <w:p w14:paraId="2212C7F3" w14:textId="77777777" w:rsidR="008B7E47" w:rsidRDefault="008B7E47" w:rsidP="00F22053">
            <w:pPr>
              <w:pStyle w:val="Tabletext"/>
            </w:pPr>
            <w:r w:rsidRPr="00E70003">
              <w:t>Computer Hardware</w:t>
            </w:r>
          </w:p>
        </w:tc>
        <w:tc>
          <w:tcPr>
            <w:tcW w:w="2250" w:type="dxa"/>
            <w:shd w:val="clear" w:color="auto" w:fill="CDD9C7"/>
          </w:tcPr>
          <w:p w14:paraId="458D81A1" w14:textId="77777777" w:rsidR="008B7E47" w:rsidRDefault="008B7E47" w:rsidP="00F22053">
            <w:pPr>
              <w:pStyle w:val="Tabletext"/>
            </w:pPr>
            <w:r w:rsidRPr="00E70003">
              <w:t>36 months</w:t>
            </w:r>
          </w:p>
        </w:tc>
      </w:tr>
      <w:tr w:rsidR="008B7E47" w14:paraId="7723C9C5" w14:textId="77777777" w:rsidTr="00DD0CEA">
        <w:tc>
          <w:tcPr>
            <w:tcW w:w="3060" w:type="dxa"/>
            <w:shd w:val="clear" w:color="auto" w:fill="CDD9C7"/>
          </w:tcPr>
          <w:p w14:paraId="48829D1C" w14:textId="77777777" w:rsidR="008B7E47" w:rsidRDefault="008B7E47" w:rsidP="00F22053">
            <w:pPr>
              <w:pStyle w:val="Tabletext"/>
            </w:pPr>
            <w:r w:rsidRPr="00E70003">
              <w:t>Office Equipment</w:t>
            </w:r>
          </w:p>
        </w:tc>
        <w:tc>
          <w:tcPr>
            <w:tcW w:w="2250" w:type="dxa"/>
            <w:shd w:val="clear" w:color="auto" w:fill="CDD9C7"/>
          </w:tcPr>
          <w:p w14:paraId="55D212B0" w14:textId="77777777" w:rsidR="008B7E47" w:rsidRDefault="008B7E47" w:rsidP="00F22053">
            <w:pPr>
              <w:pStyle w:val="Tabletext"/>
            </w:pPr>
            <w:r w:rsidRPr="00E70003">
              <w:t>60 months</w:t>
            </w:r>
          </w:p>
        </w:tc>
      </w:tr>
      <w:tr w:rsidR="008B7E47" w14:paraId="53B75673" w14:textId="77777777" w:rsidTr="00DD0CEA">
        <w:tc>
          <w:tcPr>
            <w:tcW w:w="3060" w:type="dxa"/>
            <w:shd w:val="clear" w:color="auto" w:fill="CDD9C7"/>
          </w:tcPr>
          <w:p w14:paraId="3300709F" w14:textId="77777777" w:rsidR="008B7E47" w:rsidRDefault="008B7E47" w:rsidP="00F22053">
            <w:pPr>
              <w:pStyle w:val="Tabletext"/>
            </w:pPr>
            <w:r w:rsidRPr="00E70003">
              <w:t>Office Furniture</w:t>
            </w:r>
          </w:p>
        </w:tc>
        <w:tc>
          <w:tcPr>
            <w:tcW w:w="2250" w:type="dxa"/>
            <w:shd w:val="clear" w:color="auto" w:fill="CDD9C7"/>
          </w:tcPr>
          <w:p w14:paraId="32ED4686" w14:textId="77777777" w:rsidR="008B7E47" w:rsidRDefault="008B7E47" w:rsidP="00F22053">
            <w:pPr>
              <w:pStyle w:val="Tabletext"/>
            </w:pPr>
            <w:r w:rsidRPr="00E70003">
              <w:t>60 months</w:t>
            </w:r>
          </w:p>
        </w:tc>
      </w:tr>
      <w:tr w:rsidR="008B7E47" w14:paraId="2B8391C6" w14:textId="77777777" w:rsidTr="00DD0CEA">
        <w:tc>
          <w:tcPr>
            <w:tcW w:w="3060" w:type="dxa"/>
            <w:shd w:val="clear" w:color="auto" w:fill="CDD9C7"/>
          </w:tcPr>
          <w:p w14:paraId="3B7C5677" w14:textId="77777777" w:rsidR="008B7E47" w:rsidRDefault="008B7E47" w:rsidP="00F22053">
            <w:pPr>
              <w:pStyle w:val="Tabletext"/>
            </w:pPr>
            <w:r w:rsidRPr="00E70003">
              <w:t>Computer Software</w:t>
            </w:r>
          </w:p>
        </w:tc>
        <w:tc>
          <w:tcPr>
            <w:tcW w:w="2250" w:type="dxa"/>
            <w:shd w:val="clear" w:color="auto" w:fill="CDD9C7"/>
          </w:tcPr>
          <w:p w14:paraId="2C0DE128" w14:textId="77777777" w:rsidR="008B7E47" w:rsidRPr="008B7E47" w:rsidRDefault="008B7E47" w:rsidP="00F22053">
            <w:pPr>
              <w:pStyle w:val="Tabletext"/>
            </w:pPr>
            <w:r w:rsidRPr="00E70003">
              <w:t>36 months</w:t>
            </w:r>
          </w:p>
        </w:tc>
      </w:tr>
      <w:tr w:rsidR="008B7E47" w14:paraId="6F6F54CC" w14:textId="77777777" w:rsidTr="00DD0CEA">
        <w:tc>
          <w:tcPr>
            <w:tcW w:w="3060" w:type="dxa"/>
            <w:shd w:val="clear" w:color="auto" w:fill="CDD9C7"/>
          </w:tcPr>
          <w:p w14:paraId="717C3563" w14:textId="77777777" w:rsidR="008B7E47" w:rsidRDefault="008B7E47" w:rsidP="00F22053">
            <w:pPr>
              <w:pStyle w:val="Tabletext"/>
            </w:pPr>
            <w:r w:rsidRPr="00E70003">
              <w:t>Leasehold improvements</w:t>
            </w:r>
          </w:p>
        </w:tc>
        <w:tc>
          <w:tcPr>
            <w:tcW w:w="2250" w:type="dxa"/>
            <w:shd w:val="clear" w:color="auto" w:fill="CDD9C7"/>
          </w:tcPr>
          <w:p w14:paraId="45191CB6" w14:textId="77777777" w:rsidR="008B7E47" w:rsidRDefault="008B7E47" w:rsidP="00F22053">
            <w:pPr>
              <w:pStyle w:val="Tabletext"/>
            </w:pPr>
            <w:r w:rsidRPr="00E70003">
              <w:t>Length of lease</w:t>
            </w:r>
          </w:p>
        </w:tc>
      </w:tr>
    </w:tbl>
    <w:p w14:paraId="1D14F86B" w14:textId="77777777" w:rsidR="00696E13" w:rsidRPr="00E70003" w:rsidRDefault="00696E13" w:rsidP="00E70003">
      <w:pPr>
        <w:pStyle w:val="BodyText"/>
      </w:pPr>
      <w:r w:rsidRPr="00E70003">
        <w:lastRenderedPageBreak/>
        <w:t xml:space="preserve">A Fixed Asset Log </w:t>
      </w:r>
      <w:r w:rsidR="00D40D0F">
        <w:t xml:space="preserve">will be </w:t>
      </w:r>
      <w:r w:rsidRPr="00E70003">
        <w:t xml:space="preserve">maintained by the </w:t>
      </w:r>
      <w:r w:rsidR="004B5BFD" w:rsidRPr="00E70003">
        <w:t>accountant</w:t>
      </w:r>
      <w:r w:rsidRPr="00E70003">
        <w:t xml:space="preserve"> including date of purchase, asset description, purchase/donation information, cost/fair market value, donor/funding source, identification number, </w:t>
      </w:r>
      <w:r w:rsidR="00D40D0F">
        <w:t>and the</w:t>
      </w:r>
      <w:r w:rsidR="00D30D28">
        <w:t xml:space="preserve"> depreciable</w:t>
      </w:r>
      <w:r w:rsidR="00D40D0F">
        <w:t xml:space="preserve"> </w:t>
      </w:r>
      <w:r w:rsidRPr="00E70003">
        <w:t xml:space="preserve">life of </w:t>
      </w:r>
      <w:r w:rsidR="00D40D0F">
        <w:t xml:space="preserve">the </w:t>
      </w:r>
      <w:r w:rsidRPr="00E70003">
        <w:t>asset.</w:t>
      </w:r>
    </w:p>
    <w:p w14:paraId="488AE056" w14:textId="77777777" w:rsidR="00696E13" w:rsidRPr="00E70003" w:rsidRDefault="00696E13" w:rsidP="00E70003">
      <w:pPr>
        <w:pStyle w:val="BodyText"/>
      </w:pPr>
      <w:r w:rsidRPr="00E70003">
        <w:t>Annually, a physical inspection and inventory will be taken of all fixed assets</w:t>
      </w:r>
      <w:r w:rsidR="003B66A5">
        <w:t>,</w:t>
      </w:r>
      <w:r w:rsidRPr="00E70003">
        <w:t xml:space="preserve"> and </w:t>
      </w:r>
      <w:r w:rsidR="00042850" w:rsidRPr="00E70003">
        <w:t>the accounting system will be updated to reflect any items that are disposed of or are no longer in service</w:t>
      </w:r>
      <w:r w:rsidRPr="00E70003">
        <w:t>.</w:t>
      </w:r>
    </w:p>
    <w:p w14:paraId="12CD1751" w14:textId="16DAC697" w:rsidR="00696E13" w:rsidRPr="00E70003" w:rsidRDefault="00292887" w:rsidP="00E70003">
      <w:pPr>
        <w:pStyle w:val="BodyText"/>
      </w:pPr>
      <w:r>
        <w:t xml:space="preserve">A control system </w:t>
      </w:r>
      <w:r w:rsidR="006C7A61">
        <w:t>shall</w:t>
      </w:r>
      <w:r>
        <w:t xml:space="preserve"> be in effect to ensure adequate safeguards are in place to prevent loss, damage or theft. </w:t>
      </w:r>
      <w:r w:rsidR="00696E13" w:rsidRPr="00E70003">
        <w:t xml:space="preserve">The </w:t>
      </w:r>
      <w:r w:rsidR="00363DCD">
        <w:t>e</w:t>
      </w:r>
      <w:r w:rsidR="00544B66" w:rsidRPr="00E70003">
        <w:t xml:space="preserve">xecutive </w:t>
      </w:r>
      <w:r w:rsidR="00363DCD">
        <w:t>d</w:t>
      </w:r>
      <w:r w:rsidR="00544B66" w:rsidRPr="00E70003">
        <w:t>irector</w:t>
      </w:r>
      <w:r w:rsidR="00696E13" w:rsidRPr="00E70003">
        <w:t xml:space="preserve"> shall be informed in writing of </w:t>
      </w:r>
      <w:r w:rsidR="00042850" w:rsidRPr="00E70003">
        <w:t>items that are missing, have been disposed of, or are no longer in service</w:t>
      </w:r>
      <w:r w:rsidR="00696E13" w:rsidRPr="00E70003">
        <w:t>.</w:t>
      </w:r>
      <w:r>
        <w:t xml:space="preserve"> Any missing items must be investigated.</w:t>
      </w:r>
    </w:p>
    <w:p w14:paraId="61042A42" w14:textId="77777777" w:rsidR="00696E13" w:rsidRDefault="00042850" w:rsidP="00E70003">
      <w:pPr>
        <w:pStyle w:val="BodyText"/>
      </w:pPr>
      <w:r w:rsidRPr="00E70003">
        <w:t xml:space="preserve">Depreciation </w:t>
      </w:r>
      <w:r w:rsidR="00696E13" w:rsidRPr="00E70003">
        <w:t>is recorded at least annually.</w:t>
      </w:r>
      <w:r w:rsidRPr="00E70003">
        <w:t xml:space="preserve"> Depreciation </w:t>
      </w:r>
      <w:r w:rsidR="00696E13" w:rsidRPr="00E70003">
        <w:t>is computed using the straight-line method over the estimated useful lives of the related assets. Any impaired assets discovered during the inventory will be written down to their actual value.</w:t>
      </w:r>
    </w:p>
    <w:p w14:paraId="69421565" w14:textId="77777777" w:rsidR="00696E13" w:rsidRPr="00E70003" w:rsidRDefault="00696E13" w:rsidP="000B2CF8">
      <w:pPr>
        <w:pStyle w:val="Heading2"/>
      </w:pPr>
      <w:bookmarkStart w:id="252" w:name="_Toc253834376"/>
      <w:bookmarkStart w:id="253" w:name="_Toc306027047"/>
      <w:bookmarkStart w:id="254" w:name="_Toc346626498"/>
      <w:bookmarkStart w:id="255" w:name="_Toc347934451"/>
      <w:bookmarkStart w:id="256" w:name="_Toc352681850"/>
      <w:bookmarkStart w:id="257" w:name="_Toc352773512"/>
      <w:bookmarkStart w:id="258" w:name="_Toc352773612"/>
      <w:bookmarkStart w:id="259" w:name="_Toc448404245"/>
      <w:r w:rsidRPr="00E70003">
        <w:t>P</w:t>
      </w:r>
      <w:bookmarkEnd w:id="252"/>
      <w:r w:rsidRPr="00E70003">
        <w:t>ersonnel Records</w:t>
      </w:r>
      <w:bookmarkEnd w:id="253"/>
      <w:bookmarkEnd w:id="254"/>
      <w:bookmarkEnd w:id="255"/>
      <w:bookmarkEnd w:id="256"/>
      <w:bookmarkEnd w:id="257"/>
      <w:bookmarkEnd w:id="258"/>
      <w:bookmarkEnd w:id="259"/>
    </w:p>
    <w:p w14:paraId="7B272DBC" w14:textId="77777777" w:rsidR="002C2DCC" w:rsidRDefault="00696E13" w:rsidP="00E70003">
      <w:pPr>
        <w:pStyle w:val="BodyText"/>
      </w:pPr>
      <w:r w:rsidRPr="00995EA3">
        <w:t xml:space="preserve">All personnel files </w:t>
      </w:r>
      <w:r w:rsidR="003B66A5">
        <w:t xml:space="preserve">will </w:t>
      </w:r>
      <w:r w:rsidRPr="00995EA3">
        <w:t xml:space="preserve">contain the following documents: </w:t>
      </w:r>
    </w:p>
    <w:p w14:paraId="4B53B9AB" w14:textId="40A93060" w:rsidR="002C2DCC" w:rsidRDefault="002C2DCC" w:rsidP="002C2DCC">
      <w:pPr>
        <w:pStyle w:val="ListBullet"/>
      </w:pPr>
      <w:r>
        <w:t>A</w:t>
      </w:r>
      <w:r w:rsidR="00696E13" w:rsidRPr="00995EA3">
        <w:t>n application and/or resume</w:t>
      </w:r>
    </w:p>
    <w:p w14:paraId="1FBFB630" w14:textId="35C29F19" w:rsidR="002C2DCC" w:rsidRDefault="002C2DCC" w:rsidP="002C2DCC">
      <w:pPr>
        <w:pStyle w:val="ListBullet"/>
      </w:pPr>
      <w:r>
        <w:t>D</w:t>
      </w:r>
      <w:r w:rsidR="00696E13" w:rsidRPr="00995EA3">
        <w:t>ate of employment</w:t>
      </w:r>
    </w:p>
    <w:p w14:paraId="4251905A" w14:textId="065E5EEC" w:rsidR="002C2DCC" w:rsidRDefault="002C2DCC" w:rsidP="002C2DCC">
      <w:pPr>
        <w:pStyle w:val="ListBullet"/>
      </w:pPr>
      <w:r>
        <w:t>P</w:t>
      </w:r>
      <w:r w:rsidR="00696E13" w:rsidRPr="00995EA3">
        <w:t>osition and pay rate</w:t>
      </w:r>
    </w:p>
    <w:p w14:paraId="18800D11" w14:textId="0545EF66" w:rsidR="002C2DCC" w:rsidRDefault="002C2DCC" w:rsidP="002C2DCC">
      <w:pPr>
        <w:pStyle w:val="ListBullet"/>
      </w:pPr>
      <w:r>
        <w:t>J</w:t>
      </w:r>
      <w:r w:rsidR="003E3BC9" w:rsidRPr="00995EA3">
        <w:t>ob description</w:t>
      </w:r>
    </w:p>
    <w:p w14:paraId="1238BE13" w14:textId="3388B609" w:rsidR="002C2DCC" w:rsidRDefault="002C2DCC" w:rsidP="002C2DCC">
      <w:pPr>
        <w:pStyle w:val="ListBullet"/>
      </w:pPr>
      <w:r>
        <w:t>P</w:t>
      </w:r>
      <w:r w:rsidR="003E3BC9" w:rsidRPr="00995EA3">
        <w:t>erformance evaluations</w:t>
      </w:r>
    </w:p>
    <w:p w14:paraId="7EA41A5F" w14:textId="5E5527DF" w:rsidR="002C2DCC" w:rsidRDefault="002C2DCC" w:rsidP="002C2DCC">
      <w:pPr>
        <w:pStyle w:val="ListBullet"/>
      </w:pPr>
      <w:r>
        <w:t>A</w:t>
      </w:r>
      <w:r w:rsidR="00696E13" w:rsidRPr="00995EA3">
        <w:t>uthorization of payroll deductions</w:t>
      </w:r>
    </w:p>
    <w:p w14:paraId="7BC00B7C" w14:textId="61A68543" w:rsidR="002C2DCC" w:rsidRDefault="00696E13" w:rsidP="002C2DCC">
      <w:pPr>
        <w:pStyle w:val="ListBullet"/>
      </w:pPr>
      <w:r w:rsidRPr="00995EA3">
        <w:t>W-4 withholding authorization</w:t>
      </w:r>
    </w:p>
    <w:p w14:paraId="68C43A95" w14:textId="660C51EE" w:rsidR="002C2DCC" w:rsidRDefault="002C2DCC" w:rsidP="002C2DCC">
      <w:pPr>
        <w:pStyle w:val="ListBullet"/>
      </w:pPr>
      <w:r>
        <w:t>T</w:t>
      </w:r>
      <w:r w:rsidR="00696E13" w:rsidRPr="00995EA3">
        <w:t>ermination data where applicable</w:t>
      </w:r>
    </w:p>
    <w:p w14:paraId="3EAE578B" w14:textId="797603FB" w:rsidR="002C2DCC" w:rsidRDefault="002C2DCC" w:rsidP="002C2DCC">
      <w:pPr>
        <w:pStyle w:val="ListBullet"/>
      </w:pPr>
      <w:r>
        <w:t>A</w:t>
      </w:r>
      <w:r w:rsidR="00696E13" w:rsidRPr="00995EA3">
        <w:t xml:space="preserve"> signed confidentiality agreement</w:t>
      </w:r>
    </w:p>
    <w:p w14:paraId="26FB8708" w14:textId="320F9830" w:rsidR="002C2DCC" w:rsidRDefault="002C2DCC" w:rsidP="002C2DCC">
      <w:pPr>
        <w:pStyle w:val="ListBullet"/>
      </w:pPr>
      <w:r>
        <w:t>A</w:t>
      </w:r>
      <w:r w:rsidR="00696E13" w:rsidRPr="00995EA3">
        <w:t xml:space="preserve"> signed acknowledgement of receipt of Employee Handbook</w:t>
      </w:r>
      <w:r w:rsidR="007D035E">
        <w:t xml:space="preserve"> including</w:t>
      </w:r>
      <w:r w:rsidR="007D035E" w:rsidRPr="00995EA3">
        <w:t xml:space="preserve"> </w:t>
      </w:r>
      <w:r w:rsidR="00696E13" w:rsidRPr="008E7494">
        <w:t xml:space="preserve">the </w:t>
      </w:r>
      <w:r w:rsidR="00A05C60" w:rsidRPr="00995EA3">
        <w:t>o</w:t>
      </w:r>
      <w:r w:rsidR="003E3BC9" w:rsidRPr="00995EA3">
        <w:t xml:space="preserve">rganization’s </w:t>
      </w:r>
      <w:r w:rsidR="00696E13" w:rsidRPr="00995EA3">
        <w:t>whistleblower</w:t>
      </w:r>
      <w:r w:rsidR="003E3BC9" w:rsidRPr="00995EA3">
        <w:t>, drug-free workplace</w:t>
      </w:r>
      <w:r w:rsidR="00696E13" w:rsidRPr="00995EA3">
        <w:t xml:space="preserve">, </w:t>
      </w:r>
      <w:r w:rsidR="003E3BC9" w:rsidRPr="00995EA3">
        <w:t>lobbying</w:t>
      </w:r>
      <w:r w:rsidR="00DE693A">
        <w:t>,</w:t>
      </w:r>
      <w:r w:rsidR="003E3BC9" w:rsidRPr="00995EA3">
        <w:t xml:space="preserve"> and </w:t>
      </w:r>
      <w:r w:rsidR="00696E13" w:rsidRPr="00995EA3">
        <w:t>conflict of interest polic</w:t>
      </w:r>
      <w:r w:rsidR="003E3BC9" w:rsidRPr="00995EA3">
        <w:t>ies</w:t>
      </w:r>
    </w:p>
    <w:p w14:paraId="607B2DFA" w14:textId="481CEBB1" w:rsidR="002C2DCC" w:rsidRDefault="002C2DCC" w:rsidP="002C2DCC">
      <w:pPr>
        <w:pStyle w:val="ListBullet"/>
      </w:pPr>
      <w:r>
        <w:t>A</w:t>
      </w:r>
      <w:r w:rsidR="00696E13" w:rsidRPr="00995EA3">
        <w:t>n emergency contact form</w:t>
      </w:r>
    </w:p>
    <w:p w14:paraId="273BB882" w14:textId="1EA85BA5" w:rsidR="00696E13" w:rsidRPr="00E70003" w:rsidRDefault="002C2DCC" w:rsidP="002C2DCC">
      <w:pPr>
        <w:pStyle w:val="ListBullet"/>
      </w:pPr>
      <w:r>
        <w:t>O</w:t>
      </w:r>
      <w:r w:rsidR="00696E13" w:rsidRPr="00995EA3">
        <w:t xml:space="preserve">ther forms as deemed appropriate by the </w:t>
      </w:r>
      <w:r w:rsidR="00363DCD" w:rsidRPr="00995EA3">
        <w:t>e</w:t>
      </w:r>
      <w:r w:rsidR="00544B66" w:rsidRPr="00995EA3">
        <w:t xml:space="preserve">xecutive </w:t>
      </w:r>
      <w:r w:rsidR="00363DCD" w:rsidRPr="00995EA3">
        <w:t>d</w:t>
      </w:r>
      <w:r w:rsidR="00544B66" w:rsidRPr="00995EA3">
        <w:t>irector</w:t>
      </w:r>
    </w:p>
    <w:p w14:paraId="39220D86" w14:textId="77777777" w:rsidR="00696E13" w:rsidRPr="00E70003" w:rsidRDefault="00696E13" w:rsidP="00E70003">
      <w:pPr>
        <w:pStyle w:val="BodyText"/>
      </w:pPr>
      <w:r w:rsidRPr="00E70003">
        <w:t xml:space="preserve">All employees will fill out an </w:t>
      </w:r>
      <w:r w:rsidR="00D40D0F" w:rsidRPr="00D40D0F">
        <w:t>Employment Eligibility Verification</w:t>
      </w:r>
      <w:r w:rsidR="00D40D0F">
        <w:t xml:space="preserve"> (</w:t>
      </w:r>
      <w:r w:rsidRPr="00E70003">
        <w:t>I-9</w:t>
      </w:r>
      <w:r w:rsidR="00D40D0F">
        <w:t>)</w:t>
      </w:r>
      <w:r w:rsidRPr="00E70003">
        <w:t xml:space="preserve"> and submit </w:t>
      </w:r>
      <w:r w:rsidR="00D40D0F">
        <w:t xml:space="preserve">the specified allowable </w:t>
      </w:r>
      <w:r w:rsidRPr="00E70003">
        <w:t xml:space="preserve">forms of identification to the </w:t>
      </w:r>
      <w:r w:rsidR="00363DCD">
        <w:t>e</w:t>
      </w:r>
      <w:r w:rsidR="00544B66" w:rsidRPr="00E70003">
        <w:t xml:space="preserve">xecutive </w:t>
      </w:r>
      <w:r w:rsidR="00363DCD">
        <w:t>d</w:t>
      </w:r>
      <w:r w:rsidR="00544B66" w:rsidRPr="00E70003">
        <w:t>irector</w:t>
      </w:r>
      <w:r w:rsidRPr="00E70003">
        <w:t>.</w:t>
      </w:r>
    </w:p>
    <w:p w14:paraId="6A6D8D4B" w14:textId="77777777" w:rsidR="00696E13" w:rsidRPr="00E70003" w:rsidRDefault="00696E13" w:rsidP="00E70003">
      <w:pPr>
        <w:pStyle w:val="BodyText"/>
      </w:pPr>
      <w:r w:rsidRPr="00E70003">
        <w:t>The completed I-9 forms will be kept in a secure location separate from the personnel files.</w:t>
      </w:r>
    </w:p>
    <w:p w14:paraId="07D25842" w14:textId="77777777" w:rsidR="00696E13" w:rsidRPr="00E70003" w:rsidRDefault="00696E13" w:rsidP="00E70003">
      <w:pPr>
        <w:pStyle w:val="BodyText"/>
      </w:pPr>
      <w:r w:rsidRPr="00E70003">
        <w:t xml:space="preserve">All personnel files are to be kept in a secure, locked file cabinet and accessed only by authorized personnel, as assigned by the </w:t>
      </w:r>
      <w:r w:rsidR="0036258B">
        <w:t>executive d</w:t>
      </w:r>
      <w:r w:rsidR="00544B66" w:rsidRPr="00E70003">
        <w:t>irector</w:t>
      </w:r>
      <w:r w:rsidR="001062D1" w:rsidRPr="00E70003">
        <w:t>.</w:t>
      </w:r>
    </w:p>
    <w:p w14:paraId="2B907F92" w14:textId="77777777" w:rsidR="00485EB8" w:rsidRDefault="00BB1B3E" w:rsidP="000B2CF8">
      <w:pPr>
        <w:pStyle w:val="Heading2"/>
      </w:pPr>
      <w:bookmarkStart w:id="260" w:name="_Toc347934453"/>
      <w:bookmarkStart w:id="261" w:name="_Toc352681851"/>
      <w:bookmarkStart w:id="262" w:name="_Toc352773513"/>
      <w:bookmarkStart w:id="263" w:name="_Toc352773613"/>
      <w:bookmarkStart w:id="264" w:name="_Toc448404246"/>
      <w:r>
        <w:lastRenderedPageBreak/>
        <w:t>Reports to Funding Agencies and Organizations</w:t>
      </w:r>
      <w:bookmarkEnd w:id="260"/>
      <w:bookmarkEnd w:id="261"/>
      <w:bookmarkEnd w:id="262"/>
      <w:bookmarkEnd w:id="263"/>
      <w:bookmarkEnd w:id="264"/>
    </w:p>
    <w:p w14:paraId="617AC23A" w14:textId="6EA018BE" w:rsidR="000B03CF" w:rsidRDefault="00BB1B3E" w:rsidP="00BB1B3E">
      <w:pPr>
        <w:pStyle w:val="BodyText"/>
        <w:sectPr w:rsidR="000B03CF" w:rsidSect="007823A2">
          <w:footerReference w:type="even" r:id="rId15"/>
          <w:footerReference w:type="default" r:id="rId16"/>
          <w:pgSz w:w="12240" w:h="15840"/>
          <w:pgMar w:top="1296" w:right="1440" w:bottom="1296" w:left="1440" w:header="720" w:footer="720" w:gutter="0"/>
          <w:pgNumType w:start="1"/>
          <w:cols w:space="720"/>
          <w:docGrid w:linePitch="360"/>
        </w:sectPr>
      </w:pPr>
      <w:r w:rsidRPr="00BB1B3E">
        <w:t xml:space="preserve">The </w:t>
      </w:r>
      <w:r w:rsidR="00A05C60">
        <w:t>CIL</w:t>
      </w:r>
      <w:r w:rsidRPr="00BB1B3E">
        <w:t xml:space="preserve"> is required to submit programmatic and financial reports periodically to </w:t>
      </w:r>
      <w:r w:rsidR="000B03CF">
        <w:t xml:space="preserve">funders and </w:t>
      </w:r>
      <w:r w:rsidRPr="00BB1B3E">
        <w:t xml:space="preserve">oversight agencies. In all cases, the </w:t>
      </w:r>
      <w:r w:rsidR="00A05C60">
        <w:t>CIL</w:t>
      </w:r>
      <w:r w:rsidRPr="00BB1B3E">
        <w:t xml:space="preserve"> will keep a paper or electronic file of documentation supporting financial, unit of service, programmatic, and other information included in the report along with a copy of the report itself.</w:t>
      </w:r>
    </w:p>
    <w:p w14:paraId="3D7A2222" w14:textId="6BD6C3D8" w:rsidR="00F91AE1" w:rsidRPr="00E70003" w:rsidRDefault="0036258B" w:rsidP="0074004A">
      <w:pPr>
        <w:pStyle w:val="Heading1"/>
      </w:pPr>
      <w:bookmarkStart w:id="265" w:name="_Toc347934454"/>
      <w:bookmarkStart w:id="266" w:name="_Toc352681852"/>
      <w:bookmarkStart w:id="267" w:name="_Toc352773514"/>
      <w:bookmarkStart w:id="268" w:name="_Toc352773614"/>
      <w:bookmarkStart w:id="269" w:name="_Toc448404247"/>
      <w:r>
        <w:lastRenderedPageBreak/>
        <w:t>Appendix I</w:t>
      </w:r>
      <w:r w:rsidR="00FC6DA2">
        <w:br/>
      </w:r>
      <w:r w:rsidR="00042850" w:rsidRPr="00E70003">
        <w:t xml:space="preserve">Sample </w:t>
      </w:r>
      <w:r w:rsidR="00F91AE1" w:rsidRPr="00E70003">
        <w:t>Forms and Other Attachments</w:t>
      </w:r>
      <w:bookmarkEnd w:id="265"/>
      <w:bookmarkEnd w:id="266"/>
      <w:bookmarkEnd w:id="267"/>
      <w:bookmarkEnd w:id="268"/>
      <w:bookmarkEnd w:id="269"/>
    </w:p>
    <w:p w14:paraId="117C3DE2" w14:textId="77777777" w:rsidR="0036258B" w:rsidRDefault="0036258B" w:rsidP="0036258B">
      <w:pPr>
        <w:pStyle w:val="BodyText"/>
      </w:pPr>
      <w:r>
        <w:t>Your CIL may wish to include a sample of each of the</w:t>
      </w:r>
      <w:r w:rsidR="008338B1">
        <w:t xml:space="preserve"> center’s</w:t>
      </w:r>
      <w:r>
        <w:t xml:space="preserve"> internal forms and documents as attachments to the policies and procedures manual. Examples include: </w:t>
      </w:r>
    </w:p>
    <w:p w14:paraId="665EBE2C" w14:textId="77777777" w:rsidR="00F91AE1" w:rsidRPr="007F759D" w:rsidRDefault="00F91AE1" w:rsidP="008B7E47">
      <w:pPr>
        <w:pStyle w:val="ListBullet"/>
      </w:pPr>
      <w:r w:rsidRPr="007F759D">
        <w:t>Time</w:t>
      </w:r>
      <w:r w:rsidR="00697598">
        <w:t xml:space="preserve"> S</w:t>
      </w:r>
      <w:r w:rsidR="00697598" w:rsidRPr="007F759D">
        <w:t>heet</w:t>
      </w:r>
    </w:p>
    <w:p w14:paraId="5BB28B3A" w14:textId="77777777" w:rsidR="00F91AE1" w:rsidRPr="00E70003" w:rsidRDefault="00F91AE1" w:rsidP="006B1135">
      <w:pPr>
        <w:pStyle w:val="ListBullet"/>
      </w:pPr>
      <w:r w:rsidRPr="007F759D">
        <w:t>Personnel Activity Report</w:t>
      </w:r>
    </w:p>
    <w:p w14:paraId="6B9429D4" w14:textId="77777777" w:rsidR="00F91AE1" w:rsidRPr="00E70003" w:rsidRDefault="00F91AE1" w:rsidP="008B7E47">
      <w:pPr>
        <w:pStyle w:val="ListBullet"/>
      </w:pPr>
      <w:r w:rsidRPr="00E70003">
        <w:t>Check Request Form</w:t>
      </w:r>
    </w:p>
    <w:p w14:paraId="2E158A3A" w14:textId="77777777" w:rsidR="00F91AE1" w:rsidRPr="00E70003" w:rsidRDefault="00F91AE1" w:rsidP="008B7E47">
      <w:pPr>
        <w:pStyle w:val="ListBullet"/>
      </w:pPr>
      <w:r w:rsidRPr="00E70003">
        <w:t>In-Kind Contribution Tracking Form</w:t>
      </w:r>
    </w:p>
    <w:p w14:paraId="0B648F3E" w14:textId="77777777" w:rsidR="00F91AE1" w:rsidRPr="00E70003" w:rsidRDefault="00F91AE1" w:rsidP="008B7E47">
      <w:pPr>
        <w:pStyle w:val="ListBullet"/>
      </w:pPr>
      <w:r w:rsidRPr="00E70003">
        <w:t>Travel Expense Reimbursement Request</w:t>
      </w:r>
    </w:p>
    <w:p w14:paraId="2BD7EB88" w14:textId="77777777" w:rsidR="00901DA0" w:rsidRDefault="00A57457" w:rsidP="006F731C">
      <w:pPr>
        <w:pStyle w:val="ListBullet"/>
      </w:pPr>
      <w:r w:rsidRPr="00E70003">
        <w:t>Financial Reports</w:t>
      </w:r>
      <w:bookmarkStart w:id="270" w:name="_Toc347934455"/>
    </w:p>
    <w:p w14:paraId="1573881E" w14:textId="77777777" w:rsidR="00901DA0" w:rsidRDefault="00901DA0" w:rsidP="00901DA0">
      <w:pPr>
        <w:sectPr w:rsidR="00901DA0" w:rsidSect="00CA1038">
          <w:footerReference w:type="default" r:id="rId17"/>
          <w:pgSz w:w="12240" w:h="15840" w:code="1"/>
          <w:pgMar w:top="1440" w:right="1440" w:bottom="1440" w:left="1440" w:header="432" w:footer="720" w:gutter="0"/>
          <w:cols w:space="720"/>
          <w:docGrid w:linePitch="360"/>
        </w:sectPr>
      </w:pPr>
    </w:p>
    <w:p w14:paraId="0C3993DC" w14:textId="6B3A8FAD" w:rsidR="00DD3B80" w:rsidRPr="00901DA0" w:rsidRDefault="00CE0277" w:rsidP="00AC7C46">
      <w:pPr>
        <w:pStyle w:val="Heading1"/>
      </w:pPr>
      <w:bookmarkStart w:id="271" w:name="_Ref348955686"/>
      <w:bookmarkStart w:id="272" w:name="_Toc352681853"/>
      <w:bookmarkStart w:id="273" w:name="_Toc352773515"/>
      <w:bookmarkStart w:id="274" w:name="_Toc352773615"/>
      <w:bookmarkStart w:id="275" w:name="_Toc448404248"/>
      <w:r w:rsidRPr="00901DA0">
        <w:lastRenderedPageBreak/>
        <w:t>Appendix II</w:t>
      </w:r>
      <w:r w:rsidR="00FC6DA2">
        <w:br/>
      </w:r>
      <w:r w:rsidR="00DD3B80" w:rsidRPr="00901DA0">
        <w:t xml:space="preserve">Compliance with </w:t>
      </w:r>
      <w:bookmarkEnd w:id="270"/>
      <w:bookmarkEnd w:id="271"/>
      <w:bookmarkEnd w:id="272"/>
      <w:bookmarkEnd w:id="273"/>
      <w:bookmarkEnd w:id="274"/>
      <w:r w:rsidR="005F1095">
        <w:t xml:space="preserve">Uniform Guidance and </w:t>
      </w:r>
      <w:r w:rsidR="006C7A61">
        <w:t>HHS</w:t>
      </w:r>
      <w:r w:rsidR="005F1095">
        <w:t xml:space="preserve"> Regulations</w:t>
      </w:r>
      <w:bookmarkEnd w:id="275"/>
    </w:p>
    <w:p w14:paraId="17EA11CD" w14:textId="042A3F08" w:rsidR="00A73EA8" w:rsidRDefault="00A73EA8" w:rsidP="00A73EA8">
      <w:pPr>
        <w:pStyle w:val="BodyText"/>
      </w:pPr>
      <w:r>
        <w:t xml:space="preserve">Centers for independent living are required to comply with </w:t>
      </w:r>
      <w:r w:rsidR="00030192">
        <w:t xml:space="preserve">Uniform </w:t>
      </w:r>
      <w:r w:rsidR="00030192" w:rsidRPr="00E16D80">
        <w:t>Guidance</w:t>
      </w:r>
      <w:r w:rsidR="003A5438" w:rsidRPr="00E16D80">
        <w:t>,</w:t>
      </w:r>
      <w:r w:rsidR="005F1095" w:rsidRPr="00E16D80">
        <w:t xml:space="preserve"> </w:t>
      </w:r>
      <w:r w:rsidR="006C7A61" w:rsidRPr="00E16D80">
        <w:t>HHS</w:t>
      </w:r>
      <w:r w:rsidR="005F1095" w:rsidRPr="00E16D80">
        <w:t xml:space="preserve">, </w:t>
      </w:r>
      <w:r w:rsidRPr="00E16D80">
        <w:t>and</w:t>
      </w:r>
      <w:r>
        <w:t xml:space="preserve"> other regulations.</w:t>
      </w:r>
      <w:r w:rsidR="00901DA0">
        <w:t xml:space="preserve"> Centers should ensure policy manuals address the following requirements.</w:t>
      </w:r>
    </w:p>
    <w:p w14:paraId="09B9A5C4" w14:textId="77777777" w:rsidR="000068D1" w:rsidRDefault="000068D1" w:rsidP="00571684">
      <w:pPr>
        <w:pStyle w:val="Heading2"/>
      </w:pPr>
      <w:bookmarkStart w:id="276" w:name="_Toc352681854"/>
      <w:bookmarkStart w:id="277" w:name="_Toc352773516"/>
      <w:bookmarkStart w:id="278" w:name="_Toc352773616"/>
      <w:bookmarkStart w:id="279" w:name="_Toc448404249"/>
      <w:r>
        <w:t>Supporting Documentation</w:t>
      </w:r>
      <w:bookmarkEnd w:id="276"/>
      <w:bookmarkEnd w:id="277"/>
      <w:bookmarkEnd w:id="278"/>
      <w:bookmarkEnd w:id="279"/>
    </w:p>
    <w:p w14:paraId="3218FDD6" w14:textId="1E3E5939" w:rsidR="004B0744" w:rsidRDefault="00272961" w:rsidP="00E70003">
      <w:pPr>
        <w:pStyle w:val="BodyText"/>
      </w:pPr>
      <w:r>
        <w:t xml:space="preserve">It is the responsibility of the board and staff </w:t>
      </w:r>
      <w:r w:rsidR="00A73EA8">
        <w:t xml:space="preserve">of the organization to </w:t>
      </w:r>
      <w:r>
        <w:t xml:space="preserve">ensure </w:t>
      </w:r>
      <w:r w:rsidR="00901DA0">
        <w:t xml:space="preserve">the </w:t>
      </w:r>
      <w:r w:rsidR="00A953C8">
        <w:t>CIL</w:t>
      </w:r>
      <w:r w:rsidR="00901DA0">
        <w:t xml:space="preserve"> </w:t>
      </w:r>
      <w:r>
        <w:t>maintain</w:t>
      </w:r>
      <w:r w:rsidR="00901DA0">
        <w:t>s</w:t>
      </w:r>
      <w:r w:rsidRPr="00272961">
        <w:t xml:space="preserve"> adequate supporting documentation</w:t>
      </w:r>
      <w:r>
        <w:t xml:space="preserve"> for all expenditures. </w:t>
      </w:r>
      <w:r w:rsidR="000068D1">
        <w:t>Expenditures that lack adequate supporting documentation may be disallowed.</w:t>
      </w:r>
    </w:p>
    <w:p w14:paraId="789B9158" w14:textId="110B7949" w:rsidR="00A67859" w:rsidRDefault="00F85EA2" w:rsidP="00571684">
      <w:pPr>
        <w:pStyle w:val="Heading2"/>
      </w:pPr>
      <w:bookmarkStart w:id="280" w:name="_Toc352681857"/>
      <w:bookmarkStart w:id="281" w:name="_Toc352773519"/>
      <w:bookmarkStart w:id="282" w:name="_Toc352773619"/>
      <w:bookmarkStart w:id="283" w:name="_Toc448404250"/>
      <w:r w:rsidRPr="00297ECF">
        <w:t xml:space="preserve">Allowability of </w:t>
      </w:r>
      <w:r w:rsidR="007A419E">
        <w:t>C</w:t>
      </w:r>
      <w:r w:rsidR="007A419E" w:rsidRPr="00297ECF">
        <w:t>osts</w:t>
      </w:r>
      <w:r w:rsidR="007A419E">
        <w:t xml:space="preserve"> </w:t>
      </w:r>
      <w:r w:rsidR="00487B9D">
        <w:t xml:space="preserve">(based on </w:t>
      </w:r>
      <w:r w:rsidR="00805ECE">
        <w:t>Uniform Guidance 200.403</w:t>
      </w:r>
      <w:r w:rsidR="00487B9D">
        <w:t>)</w:t>
      </w:r>
      <w:bookmarkEnd w:id="280"/>
      <w:bookmarkEnd w:id="281"/>
      <w:bookmarkEnd w:id="282"/>
      <w:bookmarkEnd w:id="283"/>
    </w:p>
    <w:p w14:paraId="0323D801" w14:textId="77777777" w:rsidR="00F85EA2" w:rsidRPr="00E70003" w:rsidRDefault="00F85EA2" w:rsidP="00E70003">
      <w:pPr>
        <w:pStyle w:val="BodyText"/>
      </w:pPr>
      <w:r w:rsidRPr="00E70003">
        <w:t>To be allowable under an award, costs must meet the following general criteria:</w:t>
      </w:r>
    </w:p>
    <w:p w14:paraId="11225BBC" w14:textId="77777777" w:rsidR="00F85EA2" w:rsidRPr="00526A32" w:rsidRDefault="00F85EA2" w:rsidP="00E40DEC">
      <w:pPr>
        <w:pStyle w:val="ListNumber"/>
        <w:numPr>
          <w:ilvl w:val="0"/>
          <w:numId w:val="22"/>
        </w:numPr>
      </w:pPr>
      <w:r w:rsidRPr="00526A32">
        <w:t>Be reasonable for the performance of the award and be allocable thereto under these principles.</w:t>
      </w:r>
    </w:p>
    <w:p w14:paraId="6E25E5B5" w14:textId="77777777" w:rsidR="00F85EA2" w:rsidRPr="00526A32" w:rsidRDefault="00F85EA2" w:rsidP="00526A32">
      <w:pPr>
        <w:pStyle w:val="ListNumber"/>
      </w:pPr>
      <w:r w:rsidRPr="00526A32">
        <w:t>Conform to any limitations or exclusions set forth in these principles or in the award as to types or amount of cost items.</w:t>
      </w:r>
    </w:p>
    <w:p w14:paraId="3EEA3A41" w14:textId="77777777" w:rsidR="00F85EA2" w:rsidRPr="00526A32" w:rsidRDefault="00F85EA2" w:rsidP="00526A32">
      <w:pPr>
        <w:pStyle w:val="ListNumber"/>
      </w:pPr>
      <w:r w:rsidRPr="00526A32">
        <w:t>Be consistent with policies and procedures that apply uniformly to both federally financed and other activities of the organization.</w:t>
      </w:r>
    </w:p>
    <w:p w14:paraId="3AC99FDD" w14:textId="77777777" w:rsidR="00F85EA2" w:rsidRPr="00526A32" w:rsidRDefault="00F85EA2" w:rsidP="00526A32">
      <w:pPr>
        <w:pStyle w:val="ListNumber"/>
      </w:pPr>
      <w:r w:rsidRPr="00526A32">
        <w:t>Be accorded consistent treatment.</w:t>
      </w:r>
    </w:p>
    <w:p w14:paraId="6406A95D" w14:textId="77777777" w:rsidR="00F85EA2" w:rsidRPr="00526A32" w:rsidRDefault="00F85EA2" w:rsidP="00526A32">
      <w:pPr>
        <w:pStyle w:val="ListNumber"/>
      </w:pPr>
      <w:r w:rsidRPr="00526A32">
        <w:t>Be determined in accordance with generally accepted accounting principles (GAAP).</w:t>
      </w:r>
    </w:p>
    <w:p w14:paraId="6E9C4AF2" w14:textId="77777777" w:rsidR="00F85EA2" w:rsidRPr="00526A32" w:rsidRDefault="00F85EA2" w:rsidP="00526A32">
      <w:pPr>
        <w:pStyle w:val="ListNumber"/>
      </w:pPr>
      <w:r w:rsidRPr="00526A32">
        <w:t>Not be included as a cost or used to meet cost sharing or matching requirements of any other federally financed program in either the current or a prior period.</w:t>
      </w:r>
    </w:p>
    <w:p w14:paraId="7CF410E9" w14:textId="77777777" w:rsidR="00A67859" w:rsidRPr="00526A32" w:rsidRDefault="00F85EA2" w:rsidP="00526A32">
      <w:pPr>
        <w:pStyle w:val="ListNumber"/>
      </w:pPr>
      <w:r w:rsidRPr="00526A32">
        <w:t>Be adequately documented.</w:t>
      </w:r>
    </w:p>
    <w:p w14:paraId="3A39A32C" w14:textId="3393251C" w:rsidR="00A67859" w:rsidRDefault="00F85EA2" w:rsidP="00571684">
      <w:pPr>
        <w:pStyle w:val="Heading2"/>
      </w:pPr>
      <w:bookmarkStart w:id="284" w:name="_Toc352681858"/>
      <w:bookmarkStart w:id="285" w:name="_Toc352773520"/>
      <w:bookmarkStart w:id="286" w:name="_Toc352773620"/>
      <w:bookmarkStart w:id="287" w:name="_Toc448404251"/>
      <w:r w:rsidRPr="00297ECF">
        <w:t xml:space="preserve">Reasonable </w:t>
      </w:r>
      <w:r w:rsidR="007A419E">
        <w:t>C</w:t>
      </w:r>
      <w:r w:rsidR="007A419E" w:rsidRPr="00297ECF">
        <w:t>osts</w:t>
      </w:r>
      <w:r w:rsidR="007A419E">
        <w:t xml:space="preserve"> </w:t>
      </w:r>
      <w:r w:rsidR="00487B9D" w:rsidRPr="00487B9D">
        <w:t xml:space="preserve">(based on </w:t>
      </w:r>
      <w:r w:rsidR="00805ECE">
        <w:t>Uniform Guidance 200</w:t>
      </w:r>
      <w:r w:rsidR="000F5CE7">
        <w:t>.</w:t>
      </w:r>
      <w:r w:rsidR="00805ECE">
        <w:t>404</w:t>
      </w:r>
      <w:r w:rsidR="00487B9D" w:rsidRPr="00487B9D">
        <w:t>)</w:t>
      </w:r>
      <w:bookmarkEnd w:id="284"/>
      <w:bookmarkEnd w:id="285"/>
      <w:bookmarkEnd w:id="286"/>
      <w:bookmarkEnd w:id="287"/>
    </w:p>
    <w:p w14:paraId="50359172" w14:textId="77777777" w:rsidR="00F85EA2" w:rsidRPr="00E70003" w:rsidRDefault="00F85EA2" w:rsidP="00E70003">
      <w:pPr>
        <w:pStyle w:val="BodyText"/>
      </w:pPr>
      <w:r w:rsidRPr="00E70003">
        <w:t>A cost is reasonable if, in its nature or amount, it does not exceed that which would be incurred by a prudent person under the circumstances prevailing at the time the d</w:t>
      </w:r>
      <w:r w:rsidR="009A15F1" w:rsidRPr="00E70003">
        <w:t>eci</w:t>
      </w:r>
      <w:r w:rsidRPr="00E70003">
        <w:t>sion was made to incur the costs. In determining the reasonableness of a given cost, consideration shall be given to</w:t>
      </w:r>
      <w:r w:rsidR="00A73EA8">
        <w:t xml:space="preserve"> the following</w:t>
      </w:r>
      <w:r w:rsidRPr="00E70003">
        <w:t>:</w:t>
      </w:r>
    </w:p>
    <w:p w14:paraId="3219A0AD" w14:textId="77777777" w:rsidR="00805ECE" w:rsidRPr="009C1F93" w:rsidRDefault="00805ECE" w:rsidP="009C1F93">
      <w:pPr>
        <w:pStyle w:val="ListNumber"/>
        <w:numPr>
          <w:ilvl w:val="0"/>
          <w:numId w:val="23"/>
        </w:numPr>
      </w:pPr>
      <w:r w:rsidRPr="009C1F93">
        <w:t>Whether the cost is of a type generally recognized as ordinary and necessary for the operation of the non-Federal entity or the proper and efficient performance of the Federal award.</w:t>
      </w:r>
    </w:p>
    <w:p w14:paraId="1C35D3A8" w14:textId="6B2498B6" w:rsidR="00805ECE" w:rsidRPr="009C1F93" w:rsidRDefault="00805ECE" w:rsidP="009C1F93">
      <w:pPr>
        <w:pStyle w:val="ListNumber"/>
      </w:pPr>
      <w:r w:rsidRPr="009C1F93">
        <w:lastRenderedPageBreak/>
        <w:t xml:space="preserve">The restraints or requirements imposed by such factors as: sound business practices; arm's-length bargaining; </w:t>
      </w:r>
      <w:r w:rsidR="009C1F93">
        <w:t>f</w:t>
      </w:r>
      <w:r w:rsidRPr="009C1F93">
        <w:t xml:space="preserve">ederal, state, local, and other laws and regulations; and terms and conditions of the </w:t>
      </w:r>
      <w:r w:rsidR="009C1F93">
        <w:t>f</w:t>
      </w:r>
      <w:r w:rsidRPr="009C1F93">
        <w:t>ederal award.</w:t>
      </w:r>
    </w:p>
    <w:p w14:paraId="5805A075" w14:textId="77777777" w:rsidR="00805ECE" w:rsidRPr="009C1F93" w:rsidRDefault="00805ECE" w:rsidP="009C1F93">
      <w:pPr>
        <w:pStyle w:val="ListNumber"/>
      </w:pPr>
      <w:r w:rsidRPr="009C1F93">
        <w:t>Market prices for comparable goods or services for the geographic area.</w:t>
      </w:r>
    </w:p>
    <w:p w14:paraId="6AE98CD5" w14:textId="7AD3526B" w:rsidR="00805ECE" w:rsidRPr="009C1F93" w:rsidRDefault="00805ECE" w:rsidP="009C1F93">
      <w:pPr>
        <w:pStyle w:val="ListNumber"/>
      </w:pPr>
      <w:r w:rsidRPr="009C1F93">
        <w:t>Whether the individuals concerned acted with prudence in the circumstances considering their responsibilities to the non-</w:t>
      </w:r>
      <w:r w:rsidR="009C1F93">
        <w:t>f</w:t>
      </w:r>
      <w:r w:rsidRPr="009C1F93">
        <w:t>ederal entity, its employees, where applicable its students or membership, the public at large, and the Federal Government.</w:t>
      </w:r>
    </w:p>
    <w:p w14:paraId="1F37364C" w14:textId="2ACC93E3" w:rsidR="00F340B4" w:rsidRDefault="00805ECE" w:rsidP="009C1F93">
      <w:pPr>
        <w:pStyle w:val="ListNumber"/>
      </w:pPr>
      <w:r w:rsidRPr="009C1F93">
        <w:t>Whether the non-</w:t>
      </w:r>
      <w:r w:rsidR="00F340B4">
        <w:t>f</w:t>
      </w:r>
      <w:r w:rsidRPr="009C1F93">
        <w:t xml:space="preserve">ederal entity significantly deviates from its established practices and policies regarding the incurrence of costs, which may unjustifiably increase the </w:t>
      </w:r>
      <w:r w:rsidR="00F340B4">
        <w:t>f</w:t>
      </w:r>
      <w:r w:rsidRPr="009C1F93">
        <w:t>ederal award's cost.</w:t>
      </w:r>
      <w:r w:rsidR="003A5438" w:rsidRPr="009C1F93" w:rsidDel="003A5438">
        <w:t xml:space="preserve"> </w:t>
      </w:r>
      <w:bookmarkStart w:id="288" w:name="_Toc352681859"/>
      <w:bookmarkStart w:id="289" w:name="_Toc352773521"/>
      <w:bookmarkStart w:id="290" w:name="_Toc352773621"/>
    </w:p>
    <w:p w14:paraId="6767DAFB" w14:textId="421AAFA5" w:rsidR="00A73EA8" w:rsidRPr="009C1F93" w:rsidRDefault="00BE47AA" w:rsidP="00F340B4">
      <w:pPr>
        <w:pStyle w:val="Heading2"/>
      </w:pPr>
      <w:bookmarkStart w:id="291" w:name="_Toc448404252"/>
      <w:r w:rsidRPr="009C1F93">
        <w:t xml:space="preserve">Allocable </w:t>
      </w:r>
      <w:r w:rsidR="007A419E" w:rsidRPr="009C1F93">
        <w:t xml:space="preserve">Costs </w:t>
      </w:r>
      <w:r w:rsidR="00487B9D" w:rsidRPr="009C1F93">
        <w:t xml:space="preserve">(based on </w:t>
      </w:r>
      <w:r w:rsidR="00805ECE" w:rsidRPr="009C1F93">
        <w:t>Uniform Guidance 200</w:t>
      </w:r>
      <w:r w:rsidR="000F5CE7">
        <w:t>.</w:t>
      </w:r>
      <w:r w:rsidR="00805ECE" w:rsidRPr="009C1F93">
        <w:t>405</w:t>
      </w:r>
      <w:r w:rsidR="00487B9D" w:rsidRPr="009C1F93">
        <w:t>)</w:t>
      </w:r>
      <w:bookmarkEnd w:id="288"/>
      <w:bookmarkEnd w:id="289"/>
      <w:bookmarkEnd w:id="290"/>
      <w:bookmarkEnd w:id="291"/>
    </w:p>
    <w:p w14:paraId="1648BE15" w14:textId="680690D2" w:rsidR="00805ECE" w:rsidRPr="003A5438" w:rsidRDefault="00805ECE" w:rsidP="000F5CE7">
      <w:pPr>
        <w:pStyle w:val="ListNumber3"/>
      </w:pPr>
      <w:r w:rsidRPr="003A5438">
        <w:t xml:space="preserve"> A cost is allocable to a particular </w:t>
      </w:r>
      <w:r w:rsidR="00F340B4">
        <w:t>f</w:t>
      </w:r>
      <w:r w:rsidRPr="003A5438">
        <w:t xml:space="preserve">ederal award or other cost objective if the goods or services involved are chargeable or assignable to that </w:t>
      </w:r>
      <w:r w:rsidR="00F340B4">
        <w:t>f</w:t>
      </w:r>
      <w:r w:rsidRPr="003A5438">
        <w:t>ederal award or cost objective in accordance with relative benefits received. This standard is met if the cost:</w:t>
      </w:r>
    </w:p>
    <w:p w14:paraId="7FB0D882" w14:textId="1D7D5805" w:rsidR="00805ECE" w:rsidRPr="003A5438" w:rsidRDefault="00805ECE" w:rsidP="000F5CE7">
      <w:pPr>
        <w:pStyle w:val="ListNumber4"/>
      </w:pPr>
      <w:r w:rsidRPr="003A5438">
        <w:t xml:space="preserve">Is incurred specifically for the </w:t>
      </w:r>
      <w:r w:rsidR="00F323D7">
        <w:t>f</w:t>
      </w:r>
      <w:r w:rsidRPr="003A5438">
        <w:t>ederal award;</w:t>
      </w:r>
    </w:p>
    <w:p w14:paraId="3E6EEBDD" w14:textId="6CA67315" w:rsidR="00805ECE" w:rsidRPr="000F5CE7" w:rsidRDefault="00805ECE" w:rsidP="000F5CE7">
      <w:pPr>
        <w:pStyle w:val="ListNumber4"/>
        <w:rPr>
          <w:rFonts w:cs="Arial"/>
        </w:rPr>
      </w:pPr>
      <w:r w:rsidRPr="003A5438">
        <w:t xml:space="preserve">Benefits both the </w:t>
      </w:r>
      <w:r w:rsidR="00F323D7">
        <w:t>f</w:t>
      </w:r>
      <w:r w:rsidRPr="003A5438">
        <w:t>ederal award and other work of the non-</w:t>
      </w:r>
      <w:r w:rsidR="00F340B4">
        <w:t>f</w:t>
      </w:r>
      <w:r w:rsidRPr="003A5438">
        <w:t xml:space="preserve">ederal entity and can be distributed in proportions that may be approximated using reasonable methods; </w:t>
      </w:r>
      <w:r w:rsidRPr="000F5CE7">
        <w:rPr>
          <w:rFonts w:cs="Arial"/>
        </w:rPr>
        <w:t>and</w:t>
      </w:r>
    </w:p>
    <w:p w14:paraId="405B41D8" w14:textId="4899E078" w:rsidR="00805ECE" w:rsidRPr="003A5438" w:rsidRDefault="00805ECE" w:rsidP="000F5CE7">
      <w:pPr>
        <w:pStyle w:val="ListNumber4"/>
      </w:pPr>
      <w:r w:rsidRPr="003A5438">
        <w:t>Is necessary to the overall operation of the non-</w:t>
      </w:r>
      <w:r w:rsidR="00F340B4">
        <w:t>f</w:t>
      </w:r>
      <w:r w:rsidRPr="003A5438">
        <w:t xml:space="preserve">ederal entity and is assignable in part to the </w:t>
      </w:r>
      <w:r w:rsidR="00F323D7">
        <w:t>f</w:t>
      </w:r>
      <w:r w:rsidRPr="003A5438">
        <w:t>ederal award in accordance with the principles in this subpart.</w:t>
      </w:r>
    </w:p>
    <w:p w14:paraId="07F9DD07" w14:textId="705370B0" w:rsidR="00805ECE" w:rsidRPr="003A5438" w:rsidRDefault="00805ECE" w:rsidP="000F5CE7">
      <w:pPr>
        <w:pStyle w:val="ListNumber3"/>
      </w:pPr>
      <w:r w:rsidRPr="003A5438">
        <w:t>All activities which benefit from the non-</w:t>
      </w:r>
      <w:r w:rsidR="00F340B4">
        <w:t>f</w:t>
      </w:r>
      <w:r w:rsidRPr="003A5438">
        <w:t>ederal entity's indirect (F&amp;A) cost, including unallowable activities and donated services by the non-</w:t>
      </w:r>
      <w:r w:rsidR="00F340B4">
        <w:t>f</w:t>
      </w:r>
      <w:r w:rsidRPr="003A5438">
        <w:t>ederal entity or third parties, will receive an appropriate allocation of indirect costs.</w:t>
      </w:r>
    </w:p>
    <w:p w14:paraId="17A11C0E" w14:textId="24D97287" w:rsidR="00805ECE" w:rsidRPr="003A5438" w:rsidRDefault="00805ECE" w:rsidP="000F5CE7">
      <w:pPr>
        <w:pStyle w:val="ListNumber3"/>
      </w:pPr>
      <w:r w:rsidRPr="003A5438">
        <w:t xml:space="preserve">Any cost allocable to a particular </w:t>
      </w:r>
      <w:r w:rsidR="00F340B4">
        <w:t>f</w:t>
      </w:r>
      <w:r w:rsidRPr="003A5438">
        <w:t xml:space="preserve">ederal award under the principles provided for in this part may not be charged to other Federal awards to overcome fund deficiencies, to avoid restrictions imposed by Federal statutes, regulations, or terms and conditions of the </w:t>
      </w:r>
      <w:r w:rsidR="00F323D7">
        <w:t>f</w:t>
      </w:r>
      <w:r w:rsidRPr="003A5438">
        <w:t>ederal awards, or for other reasons. However, this prohibition would not preclude the non-</w:t>
      </w:r>
      <w:r w:rsidR="00F323D7">
        <w:t>f</w:t>
      </w:r>
      <w:r w:rsidRPr="003A5438">
        <w:t xml:space="preserve">ederal entity from shifting costs that are allowable under two or more </w:t>
      </w:r>
      <w:r w:rsidR="00F323D7">
        <w:t>f</w:t>
      </w:r>
      <w:r w:rsidRPr="003A5438">
        <w:t xml:space="preserve">ederal awards in accordance with existing </w:t>
      </w:r>
      <w:r w:rsidR="00F323D7">
        <w:t>f</w:t>
      </w:r>
      <w:r w:rsidRPr="003A5438">
        <w:t>ederal statutes, regulations, or the terms and conditions of the Federal awards.</w:t>
      </w:r>
    </w:p>
    <w:p w14:paraId="1ABDF5A4" w14:textId="61AE3CB3" w:rsidR="00805ECE" w:rsidRPr="003A5438" w:rsidRDefault="00805ECE" w:rsidP="000F5CE7">
      <w:pPr>
        <w:pStyle w:val="ListNumber3"/>
      </w:pPr>
      <w:r w:rsidRPr="003A5438">
        <w:t xml:space="preserve">Direct cost allocation principles. If a cost benefits two or more projects or activities in proportions that can be determined without undue effort or cost, the cost must be allocated to the projects based on the proportional benefit. If a cost benefits two or more projects or activities in proportions that cannot be determined because of the interrelationship of the work involved, then, notwithstanding paragraph (c) of this section, the costs may be allocated or transferred to benefitted projects on any </w:t>
      </w:r>
      <w:r w:rsidRPr="003A5438">
        <w:lastRenderedPageBreak/>
        <w:t xml:space="preserve">reasonable documented basis. Where the purchase of equipment or other capital asset is specifically authorized under a </w:t>
      </w:r>
      <w:r w:rsidR="00F323D7">
        <w:t>f</w:t>
      </w:r>
      <w:r w:rsidRPr="003A5438">
        <w:t xml:space="preserve">ederal award, the costs are assignable to the </w:t>
      </w:r>
      <w:r w:rsidR="00F323D7">
        <w:t>f</w:t>
      </w:r>
      <w:r w:rsidRPr="003A5438">
        <w:t>ederal award regardless of the use that may be made of the equipment or other capital asset involved when no longer needed for the purpose for which it was originally required.</w:t>
      </w:r>
      <w:r w:rsidR="00DE693A" w:rsidRPr="003A5438">
        <w:t xml:space="preserve"> Also see Uniform Guidance </w:t>
      </w:r>
      <w:r w:rsidRPr="003A5438">
        <w:t xml:space="preserve">§200.310 Insurance coverage through </w:t>
      </w:r>
      <w:r w:rsidR="00F323D7" w:rsidRPr="003A5438">
        <w:t>§</w:t>
      </w:r>
      <w:r w:rsidRPr="003A5438">
        <w:t xml:space="preserve">200.316 Property trust relationship and </w:t>
      </w:r>
      <w:r w:rsidR="00F323D7" w:rsidRPr="003A5438">
        <w:t>§</w:t>
      </w:r>
      <w:r w:rsidRPr="003A5438">
        <w:t>200.439 Equipment and other capital expenditures.</w:t>
      </w:r>
    </w:p>
    <w:p w14:paraId="04856308" w14:textId="718C485E" w:rsidR="00805ECE" w:rsidRPr="008E6C3C" w:rsidRDefault="00805ECE" w:rsidP="008E6C3C">
      <w:pPr>
        <w:pStyle w:val="BodyText"/>
      </w:pPr>
    </w:p>
    <w:p w14:paraId="3C2A0C73" w14:textId="77777777" w:rsidR="00901DA0" w:rsidRDefault="00901DA0" w:rsidP="006F731C">
      <w:pPr>
        <w:pStyle w:val="BodyText"/>
        <w:sectPr w:rsidR="00901DA0" w:rsidSect="00E8263F">
          <w:footerReference w:type="default" r:id="rId18"/>
          <w:pgSz w:w="12240" w:h="15840"/>
          <w:pgMar w:top="1440" w:right="1440" w:bottom="1440" w:left="1440" w:header="720" w:footer="720" w:gutter="0"/>
          <w:cols w:space="720"/>
          <w:docGrid w:linePitch="360"/>
        </w:sectPr>
      </w:pPr>
    </w:p>
    <w:p w14:paraId="342C5EA9" w14:textId="465C21E2" w:rsidR="00485EB8" w:rsidRDefault="00CE0277" w:rsidP="0074004A">
      <w:pPr>
        <w:pStyle w:val="Heading1"/>
      </w:pPr>
      <w:bookmarkStart w:id="292" w:name="_Toc347934456"/>
      <w:bookmarkStart w:id="293" w:name="_Toc352681861"/>
      <w:bookmarkStart w:id="294" w:name="_Toc352773523"/>
      <w:bookmarkStart w:id="295" w:name="_Toc352773623"/>
      <w:bookmarkStart w:id="296" w:name="_Toc448404253"/>
      <w:r>
        <w:lastRenderedPageBreak/>
        <w:t>Appendix III</w:t>
      </w:r>
      <w:bookmarkEnd w:id="292"/>
      <w:bookmarkEnd w:id="293"/>
      <w:bookmarkEnd w:id="294"/>
      <w:bookmarkEnd w:id="295"/>
      <w:r w:rsidR="00FC6DA2">
        <w:br/>
      </w:r>
      <w:r w:rsidR="003A5B19">
        <w:t>Indirect Cost Rate</w:t>
      </w:r>
      <w:bookmarkEnd w:id="296"/>
      <w:r w:rsidR="00771AB6">
        <w:t xml:space="preserve"> Proposal</w:t>
      </w:r>
    </w:p>
    <w:p w14:paraId="7BE6C196" w14:textId="377F5EA1" w:rsidR="00133994" w:rsidRPr="003268F9" w:rsidRDefault="003A5B19" w:rsidP="003268F9">
      <w:pPr>
        <w:pStyle w:val="BodyText"/>
      </w:pPr>
      <w:bookmarkStart w:id="297" w:name="_Toc346626500"/>
      <w:r w:rsidRPr="008E6C3C">
        <w:rPr>
          <w:rStyle w:val="EmphasisBold"/>
        </w:rPr>
        <w:t xml:space="preserve">Uniform Guidance </w:t>
      </w:r>
      <w:r w:rsidR="003A5438" w:rsidRPr="008E6C3C">
        <w:rPr>
          <w:rStyle w:val="EmphasisBold"/>
        </w:rPr>
        <w:t xml:space="preserve">Appendix </w:t>
      </w:r>
      <w:r w:rsidRPr="008E6C3C">
        <w:rPr>
          <w:rStyle w:val="EmphasisBold"/>
        </w:rPr>
        <w:t>IX Indirect Cost Identification and Assignment and Rate Determination for Nonprofit Organizations</w:t>
      </w:r>
      <w:r w:rsidR="006B0E64" w:rsidRPr="003268F9">
        <w:t xml:space="preserve"> establishes the principles for determining costs of grants, contracts and other agreements with the </w:t>
      </w:r>
      <w:r w:rsidR="00833892" w:rsidRPr="003268F9">
        <w:t>f</w:t>
      </w:r>
      <w:r w:rsidR="006B0E64" w:rsidRPr="003268F9">
        <w:t xml:space="preserve">ederal </w:t>
      </w:r>
      <w:r w:rsidR="00833892" w:rsidRPr="003268F9">
        <w:t>g</w:t>
      </w:r>
      <w:r w:rsidR="006B0E64" w:rsidRPr="003268F9">
        <w:t>overnment.</w:t>
      </w:r>
      <w:r w:rsidR="0081250C" w:rsidRPr="003268F9">
        <w:t xml:space="preserve"> The</w:t>
      </w:r>
      <w:r w:rsidRPr="003268F9">
        <w:t xml:space="preserve"> guidance </w:t>
      </w:r>
      <w:r w:rsidR="0081250C" w:rsidRPr="003268F9">
        <w:t xml:space="preserve">addresses direct and indirect allocation methods. The Direct Allocation Method treats all costs as direct costs except general </w:t>
      </w:r>
      <w:r w:rsidR="00D30D28" w:rsidRPr="003268F9">
        <w:t>administration and general expense</w:t>
      </w:r>
      <w:r w:rsidR="0081250C" w:rsidRPr="003268F9">
        <w:t>. Direct costs are those that can be identified specifically with a</w:t>
      </w:r>
      <w:r w:rsidR="00466057" w:rsidRPr="003268F9">
        <w:t xml:space="preserve"> single or multiple </w:t>
      </w:r>
      <w:r w:rsidR="0081250C" w:rsidRPr="003268F9">
        <w:t>final cost objective</w:t>
      </w:r>
      <w:r w:rsidR="00466057" w:rsidRPr="003268F9">
        <w:t>(s)</w:t>
      </w:r>
      <w:r w:rsidR="0081250C" w:rsidRPr="003268F9">
        <w:t>. Indirect costs are those that have been incurred for common or joint objectives and cannot be readily identified with a particular final cost objective.</w:t>
      </w:r>
      <w:r w:rsidR="005F6ED8" w:rsidRPr="003268F9">
        <w:t xml:space="preserve"> </w:t>
      </w:r>
    </w:p>
    <w:p w14:paraId="2C5E0EA5" w14:textId="77777777" w:rsidR="003457F6" w:rsidRDefault="003A5B19" w:rsidP="006D4DF3">
      <w:pPr>
        <w:pStyle w:val="BodyText"/>
      </w:pPr>
      <w:r>
        <w:t xml:space="preserve">Indirect Cost Rate Proposals </w:t>
      </w:r>
      <w:r w:rsidR="005F6ED8">
        <w:t xml:space="preserve">must be approved </w:t>
      </w:r>
      <w:r w:rsidR="00247DF1">
        <w:t xml:space="preserve">by the “cognizant agency” </w:t>
      </w:r>
      <w:r w:rsidR="005F6ED8">
        <w:t>prior to implementation</w:t>
      </w:r>
      <w:r w:rsidR="00247DF1">
        <w:t>.</w:t>
      </w:r>
      <w:r w:rsidR="005F6ED8">
        <w:t xml:space="preserve"> In the case of centers for independen</w:t>
      </w:r>
      <w:r w:rsidR="00571684">
        <w:t>t living, this agency is the U.</w:t>
      </w:r>
      <w:r w:rsidR="005F6ED8">
        <w:t>S. Department of</w:t>
      </w:r>
      <w:r w:rsidR="003A5438">
        <w:t xml:space="preserve"> </w:t>
      </w:r>
      <w:r>
        <w:t>Health and Human Services</w:t>
      </w:r>
      <w:r w:rsidR="006D4DF3">
        <w:t>.</w:t>
      </w:r>
    </w:p>
    <w:p w14:paraId="5E9DA062" w14:textId="26BE3BA5" w:rsidR="00E40DEC" w:rsidRDefault="003457F6" w:rsidP="006D4DF3">
      <w:pPr>
        <w:pStyle w:val="BodyText"/>
      </w:pPr>
      <w:r>
        <w:t>While obtaining an approved Indirect Cost Rate is only required if the organization has more than one cost objective, all Part C centers should be doing resource development which becomes a distinct cost objective. For that reason, even small CILs should probab</w:t>
      </w:r>
      <w:r w:rsidR="00CB5B50">
        <w:t xml:space="preserve">ly have </w:t>
      </w:r>
      <w:r w:rsidR="009D551B">
        <w:t>at least two cost objectives; consequently,</w:t>
      </w:r>
      <w:r w:rsidR="00CB5B50">
        <w:t xml:space="preserve"> </w:t>
      </w:r>
      <w:r>
        <w:t>ALL Part C centers are required to obtain an indirect cost rate unless they qualify for and elect the 10% de</w:t>
      </w:r>
      <w:r w:rsidR="00671F0F">
        <w:t xml:space="preserve"> </w:t>
      </w:r>
      <w:r>
        <w:t>minimis.</w:t>
      </w:r>
      <w:r w:rsidR="00CB5B50">
        <w:t xml:space="preserve"> (There is a remote possibility that some organizations may be able to directly charge everything and avoid an indirect cost rate, but that’s only in the event that they can prove they are allocating everything directly to each of their cost objectives.)</w:t>
      </w:r>
      <w:r w:rsidR="00ED1903">
        <w:t xml:space="preserve"> </w:t>
      </w:r>
    </w:p>
    <w:p w14:paraId="50E69936" w14:textId="354D3800" w:rsidR="006C3107" w:rsidRDefault="00466057" w:rsidP="006D4DF3">
      <w:pPr>
        <w:pStyle w:val="BodyText"/>
      </w:pPr>
      <w:r>
        <w:t xml:space="preserve">Two </w:t>
      </w:r>
      <w:r w:rsidR="006C3107">
        <w:t xml:space="preserve">on-demand webinar </w:t>
      </w:r>
      <w:r>
        <w:t xml:space="preserve">presentations are available </w:t>
      </w:r>
      <w:r w:rsidR="003A5438">
        <w:t>at ILRU.org</w:t>
      </w:r>
      <w:r w:rsidR="006C3107">
        <w:t>:</w:t>
      </w:r>
      <w:r w:rsidR="003A5438">
        <w:t xml:space="preserve"> </w:t>
      </w:r>
    </w:p>
    <w:p w14:paraId="7B576795" w14:textId="01E49EE7" w:rsidR="006C3107" w:rsidRDefault="00472094" w:rsidP="006D4DF3">
      <w:pPr>
        <w:pStyle w:val="BodyText"/>
      </w:pPr>
      <w:hyperlink r:id="rId19" w:history="1">
        <w:r w:rsidR="00F42D3E" w:rsidRPr="0038632B">
          <w:rPr>
            <w:rStyle w:val="Hyperlink"/>
          </w:rPr>
          <w:t>http://www.ilru.org/training/new-indirect-cost-rate-requirements-for-cils</w:t>
        </w:r>
      </w:hyperlink>
      <w:r w:rsidR="007823A2">
        <w:t xml:space="preserve"> </w:t>
      </w:r>
      <w:r w:rsidR="00466057">
        <w:t>provides guidance in preparing for an Indirect Cost Rate Proposal</w:t>
      </w:r>
      <w:r w:rsidR="00F42D3E">
        <w:t xml:space="preserve"> </w:t>
      </w:r>
    </w:p>
    <w:p w14:paraId="1847ECD2" w14:textId="632DBC2F" w:rsidR="00E40DEC" w:rsidRDefault="00472094" w:rsidP="006D4DF3">
      <w:pPr>
        <w:pStyle w:val="BodyText"/>
      </w:pPr>
      <w:hyperlink r:id="rId20" w:history="1">
        <w:r w:rsidR="00F42D3E" w:rsidRPr="0038632B">
          <w:rPr>
            <w:rStyle w:val="Hyperlink"/>
          </w:rPr>
          <w:t>http://www.ilru.org/training/how-prepare-indirect-cost-rate-proposal</w:t>
        </w:r>
      </w:hyperlink>
      <w:r w:rsidR="00466057">
        <w:t xml:space="preserve"> provides </w:t>
      </w:r>
      <w:r w:rsidR="00F42D3E">
        <w:t xml:space="preserve">more specific </w:t>
      </w:r>
      <w:r w:rsidR="00466057">
        <w:t>guidance on drafting your Indirect Cost Rate Proposal</w:t>
      </w:r>
      <w:r w:rsidR="003A5438">
        <w:t>.</w:t>
      </w:r>
    </w:p>
    <w:p w14:paraId="036EA749" w14:textId="77777777" w:rsidR="00E05DC3" w:rsidRDefault="00334A10" w:rsidP="006370EF">
      <w:pPr>
        <w:sectPr w:rsidR="00E05DC3" w:rsidSect="00E8263F">
          <w:footerReference w:type="default" r:id="rId21"/>
          <w:pgSz w:w="12240" w:h="15840"/>
          <w:pgMar w:top="1440" w:right="1440" w:bottom="1440" w:left="1440" w:header="720" w:footer="720" w:gutter="0"/>
          <w:cols w:space="720"/>
          <w:docGrid w:linePitch="360"/>
        </w:sectPr>
      </w:pPr>
      <w:bookmarkStart w:id="298" w:name="_Toc346626503"/>
      <w:bookmarkStart w:id="299" w:name="_Toc347934457"/>
      <w:bookmarkEnd w:id="297"/>
      <w:r>
        <w:t xml:space="preserve"> </w:t>
      </w:r>
    </w:p>
    <w:p w14:paraId="47143FC9" w14:textId="2EE740F2" w:rsidR="00ED64D9" w:rsidRPr="00E70003" w:rsidRDefault="00CE0277" w:rsidP="006370EF">
      <w:pPr>
        <w:pStyle w:val="Heading1"/>
      </w:pPr>
      <w:bookmarkStart w:id="300" w:name="_Toc352681873"/>
      <w:bookmarkStart w:id="301" w:name="_Toc352773535"/>
      <w:bookmarkStart w:id="302" w:name="_Toc352773635"/>
      <w:bookmarkStart w:id="303" w:name="_Toc448404254"/>
      <w:r>
        <w:lastRenderedPageBreak/>
        <w:t>Appendix IV</w:t>
      </w:r>
      <w:r w:rsidR="00FC6DA2">
        <w:br/>
      </w:r>
      <w:r w:rsidR="00AC7C46">
        <w:t xml:space="preserve">Sample Policy for </w:t>
      </w:r>
      <w:r w:rsidR="00ED64D9" w:rsidRPr="00E70003">
        <w:t>Records Retention</w:t>
      </w:r>
      <w:bookmarkEnd w:id="298"/>
      <w:bookmarkEnd w:id="299"/>
      <w:bookmarkEnd w:id="300"/>
      <w:bookmarkEnd w:id="301"/>
      <w:bookmarkEnd w:id="302"/>
      <w:bookmarkEnd w:id="303"/>
    </w:p>
    <w:p w14:paraId="6EDFD88F" w14:textId="77777777" w:rsidR="00544BD8" w:rsidRPr="007F759D" w:rsidRDefault="00463CA9" w:rsidP="007F759D">
      <w:pPr>
        <w:pStyle w:val="BodyText"/>
        <w:rPr>
          <w:rStyle w:val="EmphasisBold"/>
        </w:rPr>
      </w:pPr>
      <w:r w:rsidRPr="007F759D">
        <w:rPr>
          <w:rStyle w:val="EmphasisBold"/>
        </w:rPr>
        <w:t xml:space="preserve">PENN CIL will follow these </w:t>
      </w:r>
      <w:r w:rsidR="00ED64D9" w:rsidRPr="007F759D">
        <w:rPr>
          <w:rStyle w:val="EmphasisBold"/>
        </w:rPr>
        <w:t>guidelines for the retention of records</w:t>
      </w:r>
      <w:r w:rsidR="00ED1F80" w:rsidRPr="007F759D">
        <w:rPr>
          <w:rStyle w:val="EmphasisBold"/>
        </w:rPr>
        <w:t xml:space="preserve"> but will also comply with any </w:t>
      </w:r>
      <w:r w:rsidR="00ED64D9" w:rsidRPr="007F759D">
        <w:rPr>
          <w:rStyle w:val="EmphasisBold"/>
        </w:rPr>
        <w:t>longer retention</w:t>
      </w:r>
      <w:r w:rsidR="00ED1F80" w:rsidRPr="007F759D">
        <w:rPr>
          <w:rStyle w:val="EmphasisBold"/>
        </w:rPr>
        <w:t xml:space="preserve"> requirements of funders</w:t>
      </w:r>
      <w:r w:rsidR="00ED64D9" w:rsidRPr="007F759D">
        <w:rPr>
          <w:rStyle w:val="EmphasisBold"/>
        </w:rPr>
        <w:t>.</w:t>
      </w:r>
      <w:r w:rsidR="007D3AA7" w:rsidRPr="008E6C3C">
        <w:rPr>
          <w:vertAlign w:val="superscript"/>
        </w:rPr>
        <w:footnoteReference w:id="35"/>
      </w:r>
    </w:p>
    <w:p w14:paraId="1C83DE49" w14:textId="77777777" w:rsidR="00820573" w:rsidRDefault="00820573" w:rsidP="00544BD8">
      <w:pPr>
        <w:pStyle w:val="BodyText"/>
      </w:pPr>
      <w:r>
        <w:t>If PENN CIL has any active, pending or threatened litigation, audit findings or monitoring findings, records will be retained until all issues are fully resolved as determined by the board of directors.</w:t>
      </w:r>
    </w:p>
    <w:p w14:paraId="09F36593" w14:textId="2833653D" w:rsidR="00ED1F80" w:rsidRDefault="00217362" w:rsidP="00544BD8">
      <w:pPr>
        <w:pStyle w:val="BodyText"/>
      </w:pPr>
      <w:r>
        <w:t xml:space="preserve">Financial and programmatic records </w:t>
      </w:r>
      <w:r w:rsidR="0001119F">
        <w:t>(</w:t>
      </w:r>
      <w:r>
        <w:t>including consumer service records</w:t>
      </w:r>
      <w:r w:rsidR="0001119F">
        <w:t xml:space="preserve">) </w:t>
      </w:r>
      <w:r>
        <w:t>and suppor</w:t>
      </w:r>
      <w:r w:rsidR="00E16D80">
        <w:t>ting documents related to federal</w:t>
      </w:r>
      <w:r>
        <w:t xml:space="preserve"> funding, compliance or performance shall be retained for a </w:t>
      </w:r>
      <w:r w:rsidR="004A5BC0">
        <w:t xml:space="preserve">minimum of </w:t>
      </w:r>
      <w:r w:rsidR="00820573">
        <w:t>five</w:t>
      </w:r>
      <w:r>
        <w:t xml:space="preserve"> years from the date in which the corresponding annual reports are submitted to RSA.</w:t>
      </w:r>
      <w:r w:rsidR="000825F2">
        <w:t xml:space="preserve"> </w:t>
      </w:r>
    </w:p>
    <w:p w14:paraId="598C5DB7" w14:textId="77777777" w:rsidR="00544BD8" w:rsidRDefault="00544BD8" w:rsidP="00544BD8">
      <w:pPr>
        <w:pStyle w:val="BodyText"/>
      </w:pPr>
      <w:r>
        <w:t>Paper and electronic records are subject to the same requirements.</w:t>
      </w:r>
    </w:p>
    <w:p w14:paraId="78F420D9" w14:textId="77777777" w:rsidR="00544BD8" w:rsidRDefault="00544BD8" w:rsidP="00544BD8">
      <w:pPr>
        <w:pStyle w:val="BodyText"/>
      </w:pPr>
      <w:r w:rsidRPr="00544BD8">
        <w:t xml:space="preserve">This </w:t>
      </w:r>
      <w:r>
        <w:t xml:space="preserve">policy </w:t>
      </w:r>
      <w:r w:rsidRPr="00544BD8">
        <w:t>will be modified to accommodate any special requirements of funders or regulators.</w:t>
      </w:r>
    </w:p>
    <w:p w14:paraId="489D3033" w14:textId="77777777" w:rsidR="00ED64D9" w:rsidRPr="00E70003" w:rsidRDefault="00ED64D9" w:rsidP="00E70003">
      <w:pPr>
        <w:pStyle w:val="BodyText"/>
      </w:pPr>
      <w:r w:rsidRPr="00E70003">
        <w:t>At the end of the retention time frame, paper and electronic records will be destroyed</w:t>
      </w:r>
      <w:r w:rsidR="00463CA9">
        <w:t>.</w:t>
      </w:r>
      <w:r w:rsidRPr="00E70003">
        <w:t xml:space="preserve"> </w:t>
      </w:r>
    </w:p>
    <w:p w14:paraId="514EE8AC" w14:textId="77777777" w:rsidR="00ED64D9" w:rsidRPr="00AE659E" w:rsidRDefault="00ED64D9" w:rsidP="009A7072">
      <w:pPr>
        <w:pStyle w:val="Bodytextbeforetable"/>
      </w:pPr>
      <w:r w:rsidRPr="00E70003">
        <w:t xml:space="preserve">A log </w:t>
      </w:r>
      <w:r w:rsidR="00AE659E">
        <w:t xml:space="preserve">of </w:t>
      </w:r>
      <w:r w:rsidRPr="00E70003">
        <w:t>records that are purged and destroyed will be maintained</w:t>
      </w:r>
      <w:r w:rsidR="00AE659E">
        <w:t>.</w:t>
      </w:r>
    </w:p>
    <w:tbl>
      <w:tblPr>
        <w:tblStyle w:val="TableGrid"/>
        <w:tblW w:w="0" w:type="auto"/>
        <w:shd w:val="clear" w:color="auto" w:fill="CDD9C7"/>
        <w:tblCellMar>
          <w:left w:w="115" w:type="dxa"/>
          <w:right w:w="115" w:type="dxa"/>
        </w:tblCellMar>
        <w:tblLook w:val="04A0" w:firstRow="1" w:lastRow="0" w:firstColumn="1" w:lastColumn="0" w:noHBand="0" w:noVBand="1"/>
        <w:tblCaption w:val="log of records that are purged and destroyed will be maintained"/>
      </w:tblPr>
      <w:tblGrid>
        <w:gridCol w:w="7288"/>
        <w:gridCol w:w="2062"/>
      </w:tblGrid>
      <w:tr w:rsidR="0082731A" w14:paraId="7BC38406" w14:textId="77777777" w:rsidTr="00DD0CEA">
        <w:trPr>
          <w:tblHeader/>
        </w:trPr>
        <w:tc>
          <w:tcPr>
            <w:tcW w:w="7488" w:type="dxa"/>
            <w:shd w:val="clear" w:color="auto" w:fill="CDD9C7"/>
          </w:tcPr>
          <w:p w14:paraId="5B40E7A6" w14:textId="77777777" w:rsidR="0082731A" w:rsidRPr="0082731A" w:rsidRDefault="0082731A" w:rsidP="009A7072">
            <w:pPr>
              <w:pStyle w:val="Tabletext"/>
              <w:rPr>
                <w:rStyle w:val="EmphasisBold"/>
              </w:rPr>
            </w:pPr>
            <w:r w:rsidRPr="0082731A">
              <w:rPr>
                <w:rStyle w:val="EmphasisBold"/>
              </w:rPr>
              <w:t>Item</w:t>
            </w:r>
          </w:p>
        </w:tc>
        <w:tc>
          <w:tcPr>
            <w:tcW w:w="2088" w:type="dxa"/>
            <w:shd w:val="clear" w:color="auto" w:fill="CDD9C7"/>
          </w:tcPr>
          <w:p w14:paraId="6403AAFC" w14:textId="77777777" w:rsidR="0082731A" w:rsidRPr="0082731A" w:rsidRDefault="0082731A" w:rsidP="009A7072">
            <w:pPr>
              <w:pStyle w:val="Tabletext"/>
              <w:rPr>
                <w:rStyle w:val="EmphasisBold"/>
              </w:rPr>
            </w:pPr>
            <w:r w:rsidRPr="0082731A">
              <w:rPr>
                <w:rStyle w:val="EmphasisBold"/>
              </w:rPr>
              <w:t>Useful li</w:t>
            </w:r>
            <w:r w:rsidR="008170BB">
              <w:rPr>
                <w:rStyle w:val="EmphasisBold"/>
              </w:rPr>
              <w:t>fe</w:t>
            </w:r>
          </w:p>
        </w:tc>
      </w:tr>
      <w:tr w:rsidR="0082731A" w14:paraId="72E4838E" w14:textId="77777777" w:rsidTr="00DD0CEA">
        <w:tc>
          <w:tcPr>
            <w:tcW w:w="7488" w:type="dxa"/>
            <w:shd w:val="clear" w:color="auto" w:fill="CDD9C7"/>
          </w:tcPr>
          <w:p w14:paraId="16ACCB66" w14:textId="77777777" w:rsidR="0082731A" w:rsidRDefault="0082731A" w:rsidP="009A7072">
            <w:pPr>
              <w:pStyle w:val="Tabletext"/>
            </w:pPr>
            <w:r w:rsidRPr="00E70003">
              <w:t>Accounts payable ledgers and schedules</w:t>
            </w:r>
          </w:p>
        </w:tc>
        <w:tc>
          <w:tcPr>
            <w:tcW w:w="2088" w:type="dxa"/>
            <w:shd w:val="clear" w:color="auto" w:fill="CDD9C7"/>
          </w:tcPr>
          <w:p w14:paraId="7E03CD36" w14:textId="77777777" w:rsidR="0082731A" w:rsidRPr="0082731A" w:rsidRDefault="00820573" w:rsidP="0001119F">
            <w:pPr>
              <w:pStyle w:val="Tabletext"/>
            </w:pPr>
            <w:r>
              <w:t>5</w:t>
            </w:r>
            <w:r w:rsidR="0082731A">
              <w:t xml:space="preserve"> </w:t>
            </w:r>
            <w:r w:rsidR="0001119F">
              <w:t>years</w:t>
            </w:r>
          </w:p>
        </w:tc>
      </w:tr>
      <w:tr w:rsidR="0082731A" w14:paraId="6FAA5F76" w14:textId="77777777" w:rsidTr="00DD0CEA">
        <w:tc>
          <w:tcPr>
            <w:tcW w:w="7488" w:type="dxa"/>
            <w:shd w:val="clear" w:color="auto" w:fill="CDD9C7"/>
          </w:tcPr>
          <w:p w14:paraId="4397D100" w14:textId="77777777" w:rsidR="0082731A" w:rsidRDefault="0082731A" w:rsidP="009A7072">
            <w:pPr>
              <w:pStyle w:val="Tabletext"/>
            </w:pPr>
            <w:r w:rsidRPr="00E70003">
              <w:t>Accounts receivable schedules</w:t>
            </w:r>
          </w:p>
        </w:tc>
        <w:tc>
          <w:tcPr>
            <w:tcW w:w="2088" w:type="dxa"/>
            <w:shd w:val="clear" w:color="auto" w:fill="CDD9C7"/>
          </w:tcPr>
          <w:p w14:paraId="3239D4ED" w14:textId="77777777" w:rsidR="0082731A" w:rsidRPr="0082731A" w:rsidRDefault="00820573" w:rsidP="0001119F">
            <w:pPr>
              <w:pStyle w:val="Tabletext"/>
            </w:pPr>
            <w:r>
              <w:t>5</w:t>
            </w:r>
            <w:r w:rsidR="0082731A">
              <w:t xml:space="preserve"> </w:t>
            </w:r>
            <w:r w:rsidR="0001119F">
              <w:t>years</w:t>
            </w:r>
          </w:p>
        </w:tc>
      </w:tr>
      <w:tr w:rsidR="0082731A" w14:paraId="2D012E8B" w14:textId="77777777" w:rsidTr="00DD0CEA">
        <w:tc>
          <w:tcPr>
            <w:tcW w:w="7488" w:type="dxa"/>
            <w:shd w:val="clear" w:color="auto" w:fill="CDD9C7"/>
          </w:tcPr>
          <w:p w14:paraId="761D2A20" w14:textId="77777777" w:rsidR="0082731A" w:rsidRDefault="0082731A" w:rsidP="009A7072">
            <w:pPr>
              <w:pStyle w:val="Tabletext"/>
            </w:pPr>
            <w:r w:rsidRPr="00E70003">
              <w:t>Bank reconciliations</w:t>
            </w:r>
          </w:p>
        </w:tc>
        <w:tc>
          <w:tcPr>
            <w:tcW w:w="2088" w:type="dxa"/>
            <w:shd w:val="clear" w:color="auto" w:fill="CDD9C7"/>
          </w:tcPr>
          <w:p w14:paraId="57E5FBFE" w14:textId="77777777" w:rsidR="0082731A" w:rsidRPr="0082731A" w:rsidRDefault="00820573" w:rsidP="0001119F">
            <w:pPr>
              <w:pStyle w:val="Tabletext"/>
            </w:pPr>
            <w:r>
              <w:t>5</w:t>
            </w:r>
            <w:r w:rsidR="0082731A">
              <w:t xml:space="preserve"> </w:t>
            </w:r>
            <w:r w:rsidR="0001119F">
              <w:t>years</w:t>
            </w:r>
          </w:p>
        </w:tc>
      </w:tr>
      <w:tr w:rsidR="0082731A" w14:paraId="50F9FB28" w14:textId="77777777" w:rsidTr="00DD0CEA">
        <w:tc>
          <w:tcPr>
            <w:tcW w:w="7488" w:type="dxa"/>
            <w:shd w:val="clear" w:color="auto" w:fill="CDD9C7"/>
          </w:tcPr>
          <w:p w14:paraId="21635A39" w14:textId="77777777" w:rsidR="0082731A" w:rsidRDefault="0082731A" w:rsidP="0001119F">
            <w:pPr>
              <w:pStyle w:val="Tabletext"/>
            </w:pPr>
            <w:r w:rsidRPr="00E70003">
              <w:t xml:space="preserve">Bank </w:t>
            </w:r>
            <w:r w:rsidR="0001119F">
              <w:t>s</w:t>
            </w:r>
            <w:r w:rsidR="0001119F" w:rsidRPr="00E70003">
              <w:t>tatements</w:t>
            </w:r>
          </w:p>
        </w:tc>
        <w:tc>
          <w:tcPr>
            <w:tcW w:w="2088" w:type="dxa"/>
            <w:shd w:val="clear" w:color="auto" w:fill="CDD9C7"/>
          </w:tcPr>
          <w:p w14:paraId="7B88FA5F" w14:textId="77777777" w:rsidR="0082731A" w:rsidRPr="0082731A" w:rsidRDefault="00820573" w:rsidP="0001119F">
            <w:pPr>
              <w:pStyle w:val="Tabletext"/>
            </w:pPr>
            <w:r>
              <w:t>5</w:t>
            </w:r>
            <w:r w:rsidR="0082731A">
              <w:t xml:space="preserve"> </w:t>
            </w:r>
            <w:r w:rsidR="0001119F">
              <w:t>years</w:t>
            </w:r>
          </w:p>
        </w:tc>
      </w:tr>
      <w:tr w:rsidR="0082731A" w14:paraId="7B228C08" w14:textId="77777777" w:rsidTr="00DD0CEA">
        <w:tc>
          <w:tcPr>
            <w:tcW w:w="7488" w:type="dxa"/>
            <w:shd w:val="clear" w:color="auto" w:fill="CDD9C7"/>
          </w:tcPr>
          <w:p w14:paraId="2125160F" w14:textId="77777777" w:rsidR="0082731A" w:rsidRPr="00E70003" w:rsidRDefault="0082731A" w:rsidP="009A7072">
            <w:pPr>
              <w:pStyle w:val="Tabletext"/>
            </w:pPr>
            <w:r w:rsidRPr="00E70003">
              <w:t>Checks (cancelled, but see exception below)</w:t>
            </w:r>
          </w:p>
        </w:tc>
        <w:tc>
          <w:tcPr>
            <w:tcW w:w="2088" w:type="dxa"/>
            <w:shd w:val="clear" w:color="auto" w:fill="CDD9C7"/>
          </w:tcPr>
          <w:p w14:paraId="26CBFFD6" w14:textId="77777777" w:rsidR="0082731A" w:rsidRDefault="00A61710" w:rsidP="0001119F">
            <w:pPr>
              <w:pStyle w:val="Tabletext"/>
            </w:pPr>
            <w:r>
              <w:t>5</w:t>
            </w:r>
            <w:r w:rsidR="0082731A">
              <w:t xml:space="preserve"> </w:t>
            </w:r>
            <w:r w:rsidR="0001119F">
              <w:t>years</w:t>
            </w:r>
          </w:p>
        </w:tc>
      </w:tr>
      <w:tr w:rsidR="0082731A" w14:paraId="4DEAC5B1" w14:textId="77777777" w:rsidTr="00DD0CEA">
        <w:tc>
          <w:tcPr>
            <w:tcW w:w="7488" w:type="dxa"/>
            <w:shd w:val="clear" w:color="auto" w:fill="CDD9C7"/>
          </w:tcPr>
          <w:p w14:paraId="77630032" w14:textId="77777777" w:rsidR="0082731A" w:rsidRPr="00E70003" w:rsidRDefault="0082731A" w:rsidP="0001119F">
            <w:pPr>
              <w:pStyle w:val="Tabletext"/>
            </w:pPr>
            <w:r w:rsidRPr="00E70003">
              <w:t>Checks (cancelled for important payments, i.e., taxes, purchases of property, special, contract, etc.) (Checks should be filed with the papers pertaining to the underlying transaction</w:t>
            </w:r>
            <w:r w:rsidR="0001119F">
              <w:t>.</w:t>
            </w:r>
            <w:r w:rsidRPr="00E70003">
              <w:t>)</w:t>
            </w:r>
          </w:p>
        </w:tc>
        <w:tc>
          <w:tcPr>
            <w:tcW w:w="2088" w:type="dxa"/>
            <w:shd w:val="clear" w:color="auto" w:fill="CDD9C7"/>
          </w:tcPr>
          <w:p w14:paraId="2C0B7095" w14:textId="77777777" w:rsidR="0082731A" w:rsidRDefault="0082731A" w:rsidP="009A7072">
            <w:pPr>
              <w:pStyle w:val="Tabletext"/>
            </w:pPr>
            <w:r w:rsidRPr="00E70003">
              <w:t>Permanent</w:t>
            </w:r>
          </w:p>
        </w:tc>
      </w:tr>
      <w:tr w:rsidR="0082731A" w14:paraId="6CDD0FA9" w14:textId="77777777" w:rsidTr="00DD0CEA">
        <w:tc>
          <w:tcPr>
            <w:tcW w:w="7488" w:type="dxa"/>
            <w:shd w:val="clear" w:color="auto" w:fill="CDD9C7"/>
          </w:tcPr>
          <w:p w14:paraId="42AEEEAB" w14:textId="77777777" w:rsidR="0082731A" w:rsidRDefault="0082731A" w:rsidP="009A7072">
            <w:pPr>
              <w:pStyle w:val="Tabletext"/>
            </w:pPr>
            <w:r w:rsidRPr="00E70003">
              <w:t>Contracts, mortgages, notes and leases:</w:t>
            </w:r>
          </w:p>
          <w:p w14:paraId="4C06E804" w14:textId="77777777" w:rsidR="0082731A" w:rsidRDefault="0082731A" w:rsidP="009A7072">
            <w:pPr>
              <w:pStyle w:val="Tabletext"/>
            </w:pPr>
            <w:r>
              <w:t>Expired</w:t>
            </w:r>
          </w:p>
          <w:p w14:paraId="3FFFCFBF" w14:textId="77777777" w:rsidR="0082731A" w:rsidRPr="0082731A" w:rsidRDefault="0082731A" w:rsidP="009A7072">
            <w:pPr>
              <w:pStyle w:val="Tabletext"/>
            </w:pPr>
            <w:r>
              <w:t>Still in effect</w:t>
            </w:r>
          </w:p>
        </w:tc>
        <w:tc>
          <w:tcPr>
            <w:tcW w:w="2088" w:type="dxa"/>
            <w:shd w:val="clear" w:color="auto" w:fill="CDD9C7"/>
          </w:tcPr>
          <w:p w14:paraId="53D1BA9C" w14:textId="77777777" w:rsidR="0082731A" w:rsidRDefault="0082731A" w:rsidP="009A7072">
            <w:pPr>
              <w:pStyle w:val="Tabletext"/>
            </w:pPr>
          </w:p>
          <w:p w14:paraId="2FF0E5EA" w14:textId="77777777" w:rsidR="0082731A" w:rsidRDefault="0082731A" w:rsidP="009A7072">
            <w:pPr>
              <w:pStyle w:val="Tabletext"/>
            </w:pPr>
            <w:r>
              <w:t xml:space="preserve">7 </w:t>
            </w:r>
            <w:r w:rsidR="0001119F">
              <w:t>years</w:t>
            </w:r>
          </w:p>
          <w:p w14:paraId="47B1036C" w14:textId="77777777" w:rsidR="0082731A" w:rsidRDefault="0082731A" w:rsidP="009A7072">
            <w:pPr>
              <w:pStyle w:val="Tabletext"/>
            </w:pPr>
            <w:r>
              <w:t>Permanent</w:t>
            </w:r>
          </w:p>
        </w:tc>
      </w:tr>
      <w:tr w:rsidR="0082731A" w14:paraId="38F0F783" w14:textId="77777777" w:rsidTr="00DD0CEA">
        <w:tc>
          <w:tcPr>
            <w:tcW w:w="7488" w:type="dxa"/>
            <w:shd w:val="clear" w:color="auto" w:fill="CDD9C7"/>
          </w:tcPr>
          <w:p w14:paraId="77AEC6E5" w14:textId="77777777" w:rsidR="0082731A" w:rsidRPr="00E70003" w:rsidRDefault="00AD2056" w:rsidP="009A7072">
            <w:pPr>
              <w:pStyle w:val="Tabletext"/>
            </w:pPr>
            <w:r w:rsidRPr="00E70003">
              <w:lastRenderedPageBreak/>
              <w:t>Correspondence</w:t>
            </w:r>
          </w:p>
        </w:tc>
        <w:tc>
          <w:tcPr>
            <w:tcW w:w="2088" w:type="dxa"/>
            <w:shd w:val="clear" w:color="auto" w:fill="CDD9C7"/>
          </w:tcPr>
          <w:p w14:paraId="07112CD1" w14:textId="77777777" w:rsidR="0082731A" w:rsidRDefault="008068FB" w:rsidP="0001119F">
            <w:pPr>
              <w:pStyle w:val="Tabletext"/>
            </w:pPr>
            <w:r>
              <w:t>5</w:t>
            </w:r>
            <w:r w:rsidR="00AD2056">
              <w:t xml:space="preserve"> </w:t>
            </w:r>
            <w:r w:rsidR="0001119F">
              <w:t>years</w:t>
            </w:r>
          </w:p>
        </w:tc>
      </w:tr>
      <w:tr w:rsidR="00AD2056" w14:paraId="04865FDA" w14:textId="77777777" w:rsidTr="00DD0CEA">
        <w:tc>
          <w:tcPr>
            <w:tcW w:w="7488" w:type="dxa"/>
            <w:shd w:val="clear" w:color="auto" w:fill="CDD9C7"/>
          </w:tcPr>
          <w:p w14:paraId="0F542F2A" w14:textId="77777777" w:rsidR="00AD2056" w:rsidRPr="00E70003" w:rsidRDefault="00AD2056" w:rsidP="009A7072">
            <w:pPr>
              <w:pStyle w:val="Tabletext"/>
            </w:pPr>
            <w:r w:rsidRPr="00E70003">
              <w:t>Deeds, mortgages and bills of sale</w:t>
            </w:r>
          </w:p>
        </w:tc>
        <w:tc>
          <w:tcPr>
            <w:tcW w:w="2088" w:type="dxa"/>
            <w:shd w:val="clear" w:color="auto" w:fill="CDD9C7"/>
          </w:tcPr>
          <w:p w14:paraId="2BA2182E" w14:textId="77777777" w:rsidR="00AD2056" w:rsidRDefault="00AD2056" w:rsidP="009A7072">
            <w:pPr>
              <w:pStyle w:val="Tabletext"/>
            </w:pPr>
            <w:r w:rsidRPr="00E70003">
              <w:t>Permanent</w:t>
            </w:r>
          </w:p>
        </w:tc>
      </w:tr>
      <w:tr w:rsidR="00AD2056" w14:paraId="644FC6EA" w14:textId="77777777" w:rsidTr="00DD0CEA">
        <w:tc>
          <w:tcPr>
            <w:tcW w:w="7488" w:type="dxa"/>
            <w:shd w:val="clear" w:color="auto" w:fill="CDD9C7"/>
          </w:tcPr>
          <w:p w14:paraId="3217D815" w14:textId="77777777" w:rsidR="00AD2056" w:rsidRPr="00E70003" w:rsidRDefault="00AD2056" w:rsidP="009A7072">
            <w:pPr>
              <w:pStyle w:val="Tabletext"/>
            </w:pPr>
            <w:r w:rsidRPr="00E70003">
              <w:t>Depreciation schedules</w:t>
            </w:r>
          </w:p>
        </w:tc>
        <w:tc>
          <w:tcPr>
            <w:tcW w:w="2088" w:type="dxa"/>
            <w:shd w:val="clear" w:color="auto" w:fill="CDD9C7"/>
          </w:tcPr>
          <w:p w14:paraId="57C965B5" w14:textId="77777777" w:rsidR="00AD2056" w:rsidRDefault="00AD2056" w:rsidP="009A7072">
            <w:pPr>
              <w:pStyle w:val="Tabletext"/>
            </w:pPr>
            <w:r w:rsidRPr="00E70003">
              <w:t>Permanent</w:t>
            </w:r>
          </w:p>
        </w:tc>
      </w:tr>
      <w:tr w:rsidR="00AD2056" w14:paraId="22F8BD37" w14:textId="77777777" w:rsidTr="00DD0CEA">
        <w:tc>
          <w:tcPr>
            <w:tcW w:w="7488" w:type="dxa"/>
            <w:shd w:val="clear" w:color="auto" w:fill="CDD9C7"/>
          </w:tcPr>
          <w:p w14:paraId="638EEA01" w14:textId="77777777" w:rsidR="00AD2056" w:rsidRPr="00E70003" w:rsidRDefault="00AD2056" w:rsidP="009A7072">
            <w:pPr>
              <w:pStyle w:val="Tabletext"/>
            </w:pPr>
            <w:r w:rsidRPr="00E70003">
              <w:t>Duplicate deposit slips</w:t>
            </w:r>
          </w:p>
        </w:tc>
        <w:tc>
          <w:tcPr>
            <w:tcW w:w="2088" w:type="dxa"/>
            <w:shd w:val="clear" w:color="auto" w:fill="CDD9C7"/>
          </w:tcPr>
          <w:p w14:paraId="7CB410E3" w14:textId="77777777" w:rsidR="00AD2056" w:rsidRDefault="00AD2056" w:rsidP="0001119F">
            <w:pPr>
              <w:pStyle w:val="Tabletext"/>
            </w:pPr>
            <w:r w:rsidRPr="00E70003">
              <w:t xml:space="preserve">2 </w:t>
            </w:r>
            <w:r w:rsidR="0001119F">
              <w:t>y</w:t>
            </w:r>
            <w:r w:rsidR="0001119F" w:rsidRPr="00E70003">
              <w:t>ears</w:t>
            </w:r>
          </w:p>
        </w:tc>
      </w:tr>
      <w:tr w:rsidR="00AD2056" w14:paraId="0C5EBF42" w14:textId="77777777" w:rsidTr="00DD0CEA">
        <w:tc>
          <w:tcPr>
            <w:tcW w:w="7488" w:type="dxa"/>
            <w:shd w:val="clear" w:color="auto" w:fill="CDD9C7"/>
          </w:tcPr>
          <w:p w14:paraId="3B7FBE6C" w14:textId="77777777" w:rsidR="00AD2056" w:rsidRPr="00E70003" w:rsidRDefault="00AD2056" w:rsidP="009A7072">
            <w:pPr>
              <w:pStyle w:val="Tabletext"/>
            </w:pPr>
            <w:r w:rsidRPr="00E70003">
              <w:t>Employment applications</w:t>
            </w:r>
          </w:p>
        </w:tc>
        <w:tc>
          <w:tcPr>
            <w:tcW w:w="2088" w:type="dxa"/>
            <w:shd w:val="clear" w:color="auto" w:fill="CDD9C7"/>
          </w:tcPr>
          <w:p w14:paraId="2EB90E1A" w14:textId="77777777" w:rsidR="00AD2056" w:rsidRDefault="00AD2056" w:rsidP="0001119F">
            <w:pPr>
              <w:pStyle w:val="Tabletext"/>
            </w:pPr>
            <w:r w:rsidRPr="00E70003">
              <w:t xml:space="preserve">3 </w:t>
            </w:r>
            <w:r w:rsidR="0001119F">
              <w:t>y</w:t>
            </w:r>
            <w:r w:rsidR="0001119F" w:rsidRPr="00E70003">
              <w:t>ears</w:t>
            </w:r>
          </w:p>
        </w:tc>
      </w:tr>
      <w:tr w:rsidR="00AD2056" w14:paraId="182F526A" w14:textId="77777777" w:rsidTr="00DD0CEA">
        <w:tc>
          <w:tcPr>
            <w:tcW w:w="7488" w:type="dxa"/>
            <w:shd w:val="clear" w:color="auto" w:fill="CDD9C7"/>
          </w:tcPr>
          <w:p w14:paraId="29DC0937" w14:textId="77777777" w:rsidR="00AD2056" w:rsidRPr="00E70003" w:rsidRDefault="00AD2056" w:rsidP="009A7072">
            <w:pPr>
              <w:pStyle w:val="Tabletext"/>
            </w:pPr>
            <w:r w:rsidRPr="00E70003">
              <w:t>Employee person</w:t>
            </w:r>
            <w:r w:rsidR="008170BB">
              <w:t>nel</w:t>
            </w:r>
            <w:r w:rsidRPr="00E70003">
              <w:t xml:space="preserve"> records (after termination)</w:t>
            </w:r>
          </w:p>
        </w:tc>
        <w:tc>
          <w:tcPr>
            <w:tcW w:w="2088" w:type="dxa"/>
            <w:shd w:val="clear" w:color="auto" w:fill="CDD9C7"/>
          </w:tcPr>
          <w:p w14:paraId="795A4C55" w14:textId="77777777" w:rsidR="00AD2056" w:rsidRPr="00E70003" w:rsidRDefault="008068FB" w:rsidP="0001119F">
            <w:pPr>
              <w:pStyle w:val="Tabletext"/>
            </w:pPr>
            <w:r>
              <w:t>5</w:t>
            </w:r>
            <w:r w:rsidR="00AD2056" w:rsidRPr="00E70003">
              <w:t xml:space="preserve"> </w:t>
            </w:r>
            <w:r w:rsidR="0001119F">
              <w:t>y</w:t>
            </w:r>
            <w:r w:rsidR="0001119F" w:rsidRPr="00E70003">
              <w:t>ears</w:t>
            </w:r>
          </w:p>
        </w:tc>
      </w:tr>
      <w:tr w:rsidR="00AD2056" w14:paraId="6C0652BE" w14:textId="77777777" w:rsidTr="00DD0CEA">
        <w:tc>
          <w:tcPr>
            <w:tcW w:w="7488" w:type="dxa"/>
            <w:shd w:val="clear" w:color="auto" w:fill="CDD9C7"/>
          </w:tcPr>
          <w:p w14:paraId="6A7977F5" w14:textId="77777777" w:rsidR="00AD2056" w:rsidRPr="00E70003" w:rsidRDefault="00AD2056" w:rsidP="009A7072">
            <w:pPr>
              <w:pStyle w:val="Tabletext"/>
            </w:pPr>
            <w:r w:rsidRPr="00E70003">
              <w:t>Expense analyses/expense distribution schedules</w:t>
            </w:r>
          </w:p>
        </w:tc>
        <w:tc>
          <w:tcPr>
            <w:tcW w:w="2088" w:type="dxa"/>
            <w:shd w:val="clear" w:color="auto" w:fill="CDD9C7"/>
          </w:tcPr>
          <w:p w14:paraId="50FBEED5" w14:textId="77777777" w:rsidR="00AD2056" w:rsidRPr="00AD2056" w:rsidRDefault="00AD2056" w:rsidP="0001119F">
            <w:pPr>
              <w:pStyle w:val="Tabletext"/>
            </w:pPr>
            <w:r>
              <w:t xml:space="preserve">7 </w:t>
            </w:r>
            <w:r w:rsidR="0001119F">
              <w:t>years</w:t>
            </w:r>
          </w:p>
        </w:tc>
      </w:tr>
      <w:tr w:rsidR="00AD2056" w14:paraId="47F36ADB" w14:textId="77777777" w:rsidTr="00DD0CEA">
        <w:tc>
          <w:tcPr>
            <w:tcW w:w="7488" w:type="dxa"/>
            <w:shd w:val="clear" w:color="auto" w:fill="CDD9C7"/>
          </w:tcPr>
          <w:p w14:paraId="49A13C68" w14:textId="77777777" w:rsidR="00AD2056" w:rsidRDefault="00AD2056" w:rsidP="009A7072">
            <w:pPr>
              <w:pStyle w:val="Tabletext"/>
            </w:pPr>
            <w:r w:rsidRPr="00E70003">
              <w:t>Financial statements:</w:t>
            </w:r>
          </w:p>
          <w:p w14:paraId="49974583" w14:textId="77777777" w:rsidR="00AD2056" w:rsidRDefault="00AD2056" w:rsidP="009A7072">
            <w:pPr>
              <w:pStyle w:val="Tabletext"/>
            </w:pPr>
            <w:r w:rsidRPr="00E70003">
              <w:t>Year-end</w:t>
            </w:r>
          </w:p>
          <w:p w14:paraId="4B52835D" w14:textId="77777777" w:rsidR="00AD2056" w:rsidRPr="00AD2056" w:rsidRDefault="00AD2056" w:rsidP="009A7072">
            <w:pPr>
              <w:pStyle w:val="Tabletext"/>
            </w:pPr>
            <w:r>
              <w:t>Other</w:t>
            </w:r>
          </w:p>
        </w:tc>
        <w:tc>
          <w:tcPr>
            <w:tcW w:w="2088" w:type="dxa"/>
            <w:shd w:val="clear" w:color="auto" w:fill="CDD9C7"/>
          </w:tcPr>
          <w:p w14:paraId="37865948" w14:textId="77777777" w:rsidR="00AD2056" w:rsidRDefault="00AD2056" w:rsidP="009A7072">
            <w:pPr>
              <w:pStyle w:val="Tabletext"/>
            </w:pPr>
          </w:p>
          <w:p w14:paraId="381BF879" w14:textId="77777777" w:rsidR="00AD2056" w:rsidRDefault="00AD2056" w:rsidP="009A7072">
            <w:pPr>
              <w:pStyle w:val="Tabletext"/>
            </w:pPr>
            <w:r>
              <w:t>Permanent</w:t>
            </w:r>
          </w:p>
          <w:p w14:paraId="24180137" w14:textId="77777777" w:rsidR="00AD2056" w:rsidRPr="00AD2056" w:rsidRDefault="00AD2056" w:rsidP="009A7072">
            <w:pPr>
              <w:pStyle w:val="Tabletext"/>
            </w:pPr>
            <w:r>
              <w:t>Optional</w:t>
            </w:r>
          </w:p>
        </w:tc>
      </w:tr>
      <w:tr w:rsidR="00AD2056" w14:paraId="5BA2E8BB" w14:textId="77777777" w:rsidTr="00DD0CEA">
        <w:tc>
          <w:tcPr>
            <w:tcW w:w="7488" w:type="dxa"/>
            <w:shd w:val="clear" w:color="auto" w:fill="CDD9C7"/>
          </w:tcPr>
          <w:p w14:paraId="60571F29" w14:textId="77777777" w:rsidR="00AD2056" w:rsidRPr="00AD2056" w:rsidRDefault="00AD2056" w:rsidP="009A7072">
            <w:pPr>
              <w:pStyle w:val="Tabletext"/>
            </w:pPr>
            <w:r>
              <w:t>Garnishments</w:t>
            </w:r>
          </w:p>
        </w:tc>
        <w:tc>
          <w:tcPr>
            <w:tcW w:w="2088" w:type="dxa"/>
            <w:shd w:val="clear" w:color="auto" w:fill="CDD9C7"/>
          </w:tcPr>
          <w:p w14:paraId="09534C4D" w14:textId="77777777" w:rsidR="00AD2056" w:rsidRPr="00AD2056" w:rsidRDefault="00AD2056" w:rsidP="0001119F">
            <w:pPr>
              <w:pStyle w:val="Tabletext"/>
            </w:pPr>
            <w:r>
              <w:t xml:space="preserve">7 </w:t>
            </w:r>
            <w:r w:rsidR="0001119F">
              <w:t>years</w:t>
            </w:r>
          </w:p>
        </w:tc>
      </w:tr>
      <w:tr w:rsidR="00AD2056" w14:paraId="18D63C37" w14:textId="77777777" w:rsidTr="00DD0CEA">
        <w:tc>
          <w:tcPr>
            <w:tcW w:w="7488" w:type="dxa"/>
            <w:shd w:val="clear" w:color="auto" w:fill="CDD9C7"/>
          </w:tcPr>
          <w:p w14:paraId="13C74812" w14:textId="77777777" w:rsidR="00AD2056" w:rsidRDefault="00AD2056" w:rsidP="009A7072">
            <w:pPr>
              <w:pStyle w:val="Tabletext"/>
            </w:pPr>
            <w:r>
              <w:t>General ledgers</w:t>
            </w:r>
          </w:p>
        </w:tc>
        <w:tc>
          <w:tcPr>
            <w:tcW w:w="2088" w:type="dxa"/>
            <w:shd w:val="clear" w:color="auto" w:fill="CDD9C7"/>
          </w:tcPr>
          <w:p w14:paraId="5F2490DC" w14:textId="77777777" w:rsidR="00AD2056" w:rsidRDefault="00A61710" w:rsidP="0001119F">
            <w:pPr>
              <w:pStyle w:val="Tabletext"/>
            </w:pPr>
            <w:r>
              <w:t>5</w:t>
            </w:r>
            <w:r w:rsidR="00AD2056">
              <w:t xml:space="preserve"> </w:t>
            </w:r>
            <w:r w:rsidR="0001119F">
              <w:t>years</w:t>
            </w:r>
          </w:p>
        </w:tc>
      </w:tr>
      <w:tr w:rsidR="00AD2056" w14:paraId="20AFD423" w14:textId="77777777" w:rsidTr="00DD0CEA">
        <w:tc>
          <w:tcPr>
            <w:tcW w:w="7488" w:type="dxa"/>
            <w:shd w:val="clear" w:color="auto" w:fill="CDD9C7"/>
          </w:tcPr>
          <w:p w14:paraId="6DD0B9DB" w14:textId="77777777" w:rsidR="00AD2056" w:rsidRDefault="00AD2056" w:rsidP="009A7072">
            <w:pPr>
              <w:pStyle w:val="Tabletext"/>
            </w:pPr>
            <w:r w:rsidRPr="00E70003">
              <w:t>Insurance policies (expired)</w:t>
            </w:r>
          </w:p>
        </w:tc>
        <w:tc>
          <w:tcPr>
            <w:tcW w:w="2088" w:type="dxa"/>
            <w:shd w:val="clear" w:color="auto" w:fill="CDD9C7"/>
          </w:tcPr>
          <w:p w14:paraId="7B770961" w14:textId="77777777" w:rsidR="00AD2056" w:rsidRDefault="00AD2056" w:rsidP="0001119F">
            <w:pPr>
              <w:pStyle w:val="Tabletext"/>
            </w:pPr>
            <w:r>
              <w:t xml:space="preserve">3 </w:t>
            </w:r>
            <w:r w:rsidR="0001119F">
              <w:t>years</w:t>
            </w:r>
          </w:p>
        </w:tc>
      </w:tr>
      <w:tr w:rsidR="00AD2056" w14:paraId="2EF5C51C" w14:textId="77777777" w:rsidTr="00DD0CEA">
        <w:tc>
          <w:tcPr>
            <w:tcW w:w="7488" w:type="dxa"/>
            <w:shd w:val="clear" w:color="auto" w:fill="CDD9C7"/>
          </w:tcPr>
          <w:p w14:paraId="146A0CF9" w14:textId="77777777" w:rsidR="00AD2056" w:rsidRPr="00AD2056" w:rsidRDefault="00AD2056" w:rsidP="009A7072">
            <w:pPr>
              <w:pStyle w:val="Tabletext"/>
            </w:pPr>
            <w:r w:rsidRPr="00E70003">
              <w:t>Insurance records, current accident reports, claims, policies, etc</w:t>
            </w:r>
            <w:r>
              <w:t>.</w:t>
            </w:r>
          </w:p>
        </w:tc>
        <w:tc>
          <w:tcPr>
            <w:tcW w:w="2088" w:type="dxa"/>
            <w:shd w:val="clear" w:color="auto" w:fill="CDD9C7"/>
          </w:tcPr>
          <w:p w14:paraId="43806028" w14:textId="77777777" w:rsidR="00AD2056" w:rsidRDefault="00AD2056" w:rsidP="009A7072">
            <w:pPr>
              <w:pStyle w:val="Tabletext"/>
            </w:pPr>
            <w:r>
              <w:t>Permanent</w:t>
            </w:r>
          </w:p>
        </w:tc>
      </w:tr>
      <w:tr w:rsidR="00AD2056" w14:paraId="53FE4FED" w14:textId="77777777" w:rsidTr="00DD0CEA">
        <w:tc>
          <w:tcPr>
            <w:tcW w:w="7488" w:type="dxa"/>
            <w:shd w:val="clear" w:color="auto" w:fill="CDD9C7"/>
          </w:tcPr>
          <w:p w14:paraId="25979033" w14:textId="77777777" w:rsidR="00AD2056" w:rsidRPr="00E70003" w:rsidRDefault="00A61710" w:rsidP="00A61710">
            <w:pPr>
              <w:pStyle w:val="Tabletext"/>
            </w:pPr>
            <w:r>
              <w:t>Vouchers</w:t>
            </w:r>
            <w:r w:rsidR="00AD2056" w:rsidRPr="00E70003">
              <w:t xml:space="preserve"> </w:t>
            </w:r>
            <w:r>
              <w:t>for reimbursement</w:t>
            </w:r>
          </w:p>
        </w:tc>
        <w:tc>
          <w:tcPr>
            <w:tcW w:w="2088" w:type="dxa"/>
            <w:shd w:val="clear" w:color="auto" w:fill="CDD9C7"/>
          </w:tcPr>
          <w:p w14:paraId="4283C3E0" w14:textId="77777777" w:rsidR="00AD2056" w:rsidRDefault="00A61710" w:rsidP="0001119F">
            <w:pPr>
              <w:pStyle w:val="Tabletext"/>
            </w:pPr>
            <w:r>
              <w:t>5</w:t>
            </w:r>
            <w:r w:rsidR="00AD2056">
              <w:t xml:space="preserve"> </w:t>
            </w:r>
            <w:r w:rsidR="0001119F">
              <w:t>years</w:t>
            </w:r>
          </w:p>
        </w:tc>
      </w:tr>
      <w:tr w:rsidR="00AD2056" w14:paraId="20C1D3C8" w14:textId="77777777" w:rsidTr="00DD0CEA">
        <w:tc>
          <w:tcPr>
            <w:tcW w:w="7488" w:type="dxa"/>
            <w:shd w:val="clear" w:color="auto" w:fill="CDD9C7"/>
          </w:tcPr>
          <w:p w14:paraId="5E4D11FC" w14:textId="77777777" w:rsidR="00AD2056" w:rsidRPr="00E70003" w:rsidRDefault="00AD2056" w:rsidP="009A7072">
            <w:pPr>
              <w:pStyle w:val="Tabletext"/>
            </w:pPr>
            <w:r w:rsidRPr="00E70003">
              <w:t>Invoices from vendors</w:t>
            </w:r>
          </w:p>
        </w:tc>
        <w:tc>
          <w:tcPr>
            <w:tcW w:w="2088" w:type="dxa"/>
            <w:shd w:val="clear" w:color="auto" w:fill="CDD9C7"/>
          </w:tcPr>
          <w:p w14:paraId="4DB7D70C" w14:textId="77777777" w:rsidR="00AD2056" w:rsidRDefault="00A61710" w:rsidP="0001119F">
            <w:pPr>
              <w:pStyle w:val="Tabletext"/>
            </w:pPr>
            <w:r>
              <w:t>5</w:t>
            </w:r>
            <w:r w:rsidR="00AD2056">
              <w:t xml:space="preserve"> </w:t>
            </w:r>
            <w:r w:rsidR="0001119F">
              <w:t>years</w:t>
            </w:r>
          </w:p>
        </w:tc>
      </w:tr>
      <w:tr w:rsidR="00AD2056" w14:paraId="2BDC8BE2" w14:textId="77777777" w:rsidTr="00DD0CEA">
        <w:tc>
          <w:tcPr>
            <w:tcW w:w="7488" w:type="dxa"/>
            <w:shd w:val="clear" w:color="auto" w:fill="CDD9C7"/>
          </w:tcPr>
          <w:p w14:paraId="46E67320" w14:textId="77777777" w:rsidR="00AD2056" w:rsidRPr="00E70003" w:rsidRDefault="00AD2056" w:rsidP="009A7072">
            <w:pPr>
              <w:pStyle w:val="Tabletext"/>
            </w:pPr>
            <w:r w:rsidRPr="00E70003">
              <w:t>Journals (receipts, disbursements)</w:t>
            </w:r>
          </w:p>
        </w:tc>
        <w:tc>
          <w:tcPr>
            <w:tcW w:w="2088" w:type="dxa"/>
            <w:shd w:val="clear" w:color="auto" w:fill="CDD9C7"/>
          </w:tcPr>
          <w:p w14:paraId="11DB79CE" w14:textId="77777777" w:rsidR="00AD2056" w:rsidRDefault="00A61710" w:rsidP="0001119F">
            <w:pPr>
              <w:pStyle w:val="Tabletext"/>
            </w:pPr>
            <w:r>
              <w:t>5</w:t>
            </w:r>
            <w:r w:rsidR="00AD2056">
              <w:t xml:space="preserve"> </w:t>
            </w:r>
            <w:r w:rsidR="0001119F">
              <w:t>years</w:t>
            </w:r>
          </w:p>
        </w:tc>
      </w:tr>
      <w:tr w:rsidR="00AD2056" w14:paraId="0B517C89" w14:textId="77777777" w:rsidTr="00DD0CEA">
        <w:tc>
          <w:tcPr>
            <w:tcW w:w="7488" w:type="dxa"/>
            <w:shd w:val="clear" w:color="auto" w:fill="CDD9C7"/>
          </w:tcPr>
          <w:p w14:paraId="46EF31D8" w14:textId="77777777" w:rsidR="00AD2056" w:rsidRPr="00E70003" w:rsidRDefault="00AD2056" w:rsidP="009A7072">
            <w:pPr>
              <w:pStyle w:val="Tabletext"/>
            </w:pPr>
            <w:r w:rsidRPr="00E70003">
              <w:t>Minute books of directors and stockholders, including bylaws and charter</w:t>
            </w:r>
          </w:p>
        </w:tc>
        <w:tc>
          <w:tcPr>
            <w:tcW w:w="2088" w:type="dxa"/>
            <w:shd w:val="clear" w:color="auto" w:fill="CDD9C7"/>
          </w:tcPr>
          <w:p w14:paraId="61581604" w14:textId="77777777" w:rsidR="00AD2056" w:rsidRDefault="00AD2056" w:rsidP="009A7072">
            <w:pPr>
              <w:pStyle w:val="Tabletext"/>
            </w:pPr>
            <w:r>
              <w:t>Permanent</w:t>
            </w:r>
          </w:p>
        </w:tc>
      </w:tr>
      <w:tr w:rsidR="00AD2056" w14:paraId="02CF087C" w14:textId="77777777" w:rsidTr="00DD0CEA">
        <w:tc>
          <w:tcPr>
            <w:tcW w:w="7488" w:type="dxa"/>
            <w:shd w:val="clear" w:color="auto" w:fill="CDD9C7"/>
          </w:tcPr>
          <w:p w14:paraId="50234885" w14:textId="77777777" w:rsidR="00AD2056" w:rsidRPr="00E70003" w:rsidRDefault="00AD2056" w:rsidP="009A7072">
            <w:pPr>
              <w:pStyle w:val="Tabletext"/>
            </w:pPr>
            <w:r w:rsidRPr="00E70003">
              <w:t>Notes receivable ledgers and schedules</w:t>
            </w:r>
          </w:p>
        </w:tc>
        <w:tc>
          <w:tcPr>
            <w:tcW w:w="2088" w:type="dxa"/>
            <w:shd w:val="clear" w:color="auto" w:fill="CDD9C7"/>
          </w:tcPr>
          <w:p w14:paraId="74A1EB5B" w14:textId="77777777" w:rsidR="00AD2056" w:rsidRDefault="00AD2056" w:rsidP="0001119F">
            <w:pPr>
              <w:pStyle w:val="Tabletext"/>
            </w:pPr>
            <w:r>
              <w:t xml:space="preserve">7 </w:t>
            </w:r>
            <w:r w:rsidR="0001119F">
              <w:t>years</w:t>
            </w:r>
          </w:p>
        </w:tc>
      </w:tr>
      <w:tr w:rsidR="00AD2056" w14:paraId="0D808A87" w14:textId="77777777" w:rsidTr="00DD0CEA">
        <w:tc>
          <w:tcPr>
            <w:tcW w:w="7488" w:type="dxa"/>
            <w:shd w:val="clear" w:color="auto" w:fill="CDD9C7"/>
          </w:tcPr>
          <w:p w14:paraId="5B852B6D" w14:textId="77777777" w:rsidR="00AD2056" w:rsidRPr="00E70003" w:rsidRDefault="00AD2056" w:rsidP="009A7072">
            <w:pPr>
              <w:pStyle w:val="Tabletext"/>
            </w:pPr>
            <w:r w:rsidRPr="00E70003">
              <w:t>Payroll records and summaries, including payments to pensioners</w:t>
            </w:r>
          </w:p>
        </w:tc>
        <w:tc>
          <w:tcPr>
            <w:tcW w:w="2088" w:type="dxa"/>
            <w:shd w:val="clear" w:color="auto" w:fill="CDD9C7"/>
          </w:tcPr>
          <w:p w14:paraId="1EDFDF26" w14:textId="77777777" w:rsidR="00AD2056" w:rsidRDefault="00AD2056" w:rsidP="0001119F">
            <w:pPr>
              <w:pStyle w:val="Tabletext"/>
            </w:pPr>
            <w:r>
              <w:t xml:space="preserve">7 </w:t>
            </w:r>
            <w:r w:rsidR="0001119F">
              <w:t>years</w:t>
            </w:r>
          </w:p>
        </w:tc>
      </w:tr>
      <w:tr w:rsidR="00AD2056" w14:paraId="21BAB1AC" w14:textId="77777777" w:rsidTr="00DD0CEA">
        <w:tc>
          <w:tcPr>
            <w:tcW w:w="7488" w:type="dxa"/>
            <w:shd w:val="clear" w:color="auto" w:fill="CDD9C7"/>
          </w:tcPr>
          <w:p w14:paraId="174F08BB" w14:textId="77777777" w:rsidR="00AD2056" w:rsidRPr="00E70003" w:rsidRDefault="00AD2056" w:rsidP="009A7072">
            <w:pPr>
              <w:pStyle w:val="Tabletext"/>
            </w:pPr>
            <w:r w:rsidRPr="00E70003">
              <w:t>Personnel records (terminated)</w:t>
            </w:r>
          </w:p>
        </w:tc>
        <w:tc>
          <w:tcPr>
            <w:tcW w:w="2088" w:type="dxa"/>
            <w:shd w:val="clear" w:color="auto" w:fill="CDD9C7"/>
          </w:tcPr>
          <w:p w14:paraId="4E0E9D70" w14:textId="77777777" w:rsidR="00AD2056" w:rsidRDefault="00AD2056" w:rsidP="0001119F">
            <w:pPr>
              <w:pStyle w:val="Tabletext"/>
            </w:pPr>
            <w:r>
              <w:t xml:space="preserve">7 </w:t>
            </w:r>
            <w:r w:rsidR="0001119F">
              <w:t>years</w:t>
            </w:r>
          </w:p>
        </w:tc>
      </w:tr>
      <w:tr w:rsidR="00AD2056" w14:paraId="178ABDDE" w14:textId="77777777" w:rsidTr="00DD0CEA">
        <w:tc>
          <w:tcPr>
            <w:tcW w:w="7488" w:type="dxa"/>
            <w:shd w:val="clear" w:color="auto" w:fill="CDD9C7"/>
          </w:tcPr>
          <w:p w14:paraId="123EE11D" w14:textId="77777777" w:rsidR="00AD2056" w:rsidRPr="00E70003" w:rsidRDefault="00AD2056" w:rsidP="009A7072">
            <w:pPr>
              <w:pStyle w:val="Tabletext"/>
            </w:pPr>
            <w:r w:rsidRPr="00E70003">
              <w:t>Petty cash vouchers</w:t>
            </w:r>
          </w:p>
        </w:tc>
        <w:tc>
          <w:tcPr>
            <w:tcW w:w="2088" w:type="dxa"/>
            <w:shd w:val="clear" w:color="auto" w:fill="CDD9C7"/>
          </w:tcPr>
          <w:p w14:paraId="114ECFE8" w14:textId="77777777" w:rsidR="00AD2056" w:rsidRDefault="008068FB" w:rsidP="0001119F">
            <w:pPr>
              <w:pStyle w:val="Tabletext"/>
            </w:pPr>
            <w:r>
              <w:t>5</w:t>
            </w:r>
            <w:r w:rsidR="00AD2056">
              <w:t xml:space="preserve"> </w:t>
            </w:r>
            <w:r w:rsidR="0001119F">
              <w:t>years</w:t>
            </w:r>
          </w:p>
        </w:tc>
      </w:tr>
      <w:tr w:rsidR="00AD2056" w14:paraId="40340518" w14:textId="77777777" w:rsidTr="00DD0CEA">
        <w:tc>
          <w:tcPr>
            <w:tcW w:w="7488" w:type="dxa"/>
            <w:shd w:val="clear" w:color="auto" w:fill="CDD9C7"/>
          </w:tcPr>
          <w:p w14:paraId="40A2A52C" w14:textId="77777777" w:rsidR="00AD2056" w:rsidRPr="00E70003" w:rsidRDefault="00AD2056" w:rsidP="009A7072">
            <w:pPr>
              <w:pStyle w:val="Tabletext"/>
            </w:pPr>
            <w:r w:rsidRPr="00E70003">
              <w:t>Property appraisals by outside appraisers</w:t>
            </w:r>
          </w:p>
        </w:tc>
        <w:tc>
          <w:tcPr>
            <w:tcW w:w="2088" w:type="dxa"/>
            <w:shd w:val="clear" w:color="auto" w:fill="CDD9C7"/>
          </w:tcPr>
          <w:p w14:paraId="3AA75350" w14:textId="77777777" w:rsidR="00AD2056" w:rsidRDefault="00AD2056" w:rsidP="009A7072">
            <w:pPr>
              <w:pStyle w:val="Tabletext"/>
            </w:pPr>
            <w:r w:rsidRPr="00E70003">
              <w:t>Permanent</w:t>
            </w:r>
          </w:p>
        </w:tc>
      </w:tr>
      <w:tr w:rsidR="00AD2056" w14:paraId="0B90BC95" w14:textId="77777777" w:rsidTr="00DD0CEA">
        <w:tc>
          <w:tcPr>
            <w:tcW w:w="7488" w:type="dxa"/>
            <w:shd w:val="clear" w:color="auto" w:fill="CDD9C7"/>
          </w:tcPr>
          <w:p w14:paraId="26B44C2D" w14:textId="77777777" w:rsidR="00AD2056" w:rsidRPr="00E70003" w:rsidRDefault="00AD2056" w:rsidP="009A7072">
            <w:pPr>
              <w:pStyle w:val="Tabletext"/>
            </w:pPr>
            <w:r w:rsidRPr="00E70003">
              <w:t>Property records</w:t>
            </w:r>
            <w:r w:rsidR="0029503A">
              <w:t>—</w:t>
            </w:r>
            <w:r w:rsidRPr="00E70003">
              <w:t>including costs, depreciation reserves, end-of-year trial balances, depreciation schedules, blueprints and plans.</w:t>
            </w:r>
          </w:p>
        </w:tc>
        <w:tc>
          <w:tcPr>
            <w:tcW w:w="2088" w:type="dxa"/>
            <w:shd w:val="clear" w:color="auto" w:fill="CDD9C7"/>
          </w:tcPr>
          <w:p w14:paraId="6DDB27BF" w14:textId="77777777" w:rsidR="00AD2056" w:rsidRPr="00E70003" w:rsidRDefault="00AD2056" w:rsidP="009A7072">
            <w:pPr>
              <w:pStyle w:val="Tabletext"/>
            </w:pPr>
            <w:r w:rsidRPr="00E70003">
              <w:t>Permanent</w:t>
            </w:r>
          </w:p>
        </w:tc>
      </w:tr>
      <w:tr w:rsidR="00AD2056" w14:paraId="53FD92A2" w14:textId="77777777" w:rsidTr="00DD0CEA">
        <w:tc>
          <w:tcPr>
            <w:tcW w:w="7488" w:type="dxa"/>
            <w:shd w:val="clear" w:color="auto" w:fill="CDD9C7"/>
          </w:tcPr>
          <w:p w14:paraId="4A9F4CB6" w14:textId="77777777" w:rsidR="00AD2056" w:rsidRPr="00E70003" w:rsidRDefault="00AD2056" w:rsidP="009A7072">
            <w:pPr>
              <w:pStyle w:val="Tabletext"/>
            </w:pPr>
            <w:r w:rsidRPr="00E70003">
              <w:t>Retirement and pension records</w:t>
            </w:r>
          </w:p>
        </w:tc>
        <w:tc>
          <w:tcPr>
            <w:tcW w:w="2088" w:type="dxa"/>
            <w:shd w:val="clear" w:color="auto" w:fill="CDD9C7"/>
          </w:tcPr>
          <w:p w14:paraId="5C4EBEE1" w14:textId="77777777" w:rsidR="00AD2056" w:rsidRPr="00E70003" w:rsidRDefault="00AD2056" w:rsidP="009A7072">
            <w:pPr>
              <w:pStyle w:val="Tabletext"/>
            </w:pPr>
            <w:r w:rsidRPr="00E70003">
              <w:t>Permanent</w:t>
            </w:r>
          </w:p>
        </w:tc>
      </w:tr>
      <w:tr w:rsidR="00AD2056" w14:paraId="1DDC241C" w14:textId="77777777" w:rsidTr="00DD0CEA">
        <w:tc>
          <w:tcPr>
            <w:tcW w:w="7488" w:type="dxa"/>
            <w:shd w:val="clear" w:color="auto" w:fill="CDD9C7"/>
          </w:tcPr>
          <w:p w14:paraId="41EF22F9" w14:textId="77777777" w:rsidR="00AD2056" w:rsidRPr="00E70003" w:rsidRDefault="00AD2056" w:rsidP="009A7072">
            <w:pPr>
              <w:pStyle w:val="Tabletext"/>
            </w:pPr>
            <w:r w:rsidRPr="00E70003">
              <w:t>Sales records</w:t>
            </w:r>
          </w:p>
        </w:tc>
        <w:tc>
          <w:tcPr>
            <w:tcW w:w="2088" w:type="dxa"/>
            <w:shd w:val="clear" w:color="auto" w:fill="CDD9C7"/>
          </w:tcPr>
          <w:p w14:paraId="0E1D874C" w14:textId="77777777" w:rsidR="00AD2056" w:rsidRPr="00AD2056" w:rsidRDefault="008068FB" w:rsidP="0001119F">
            <w:pPr>
              <w:pStyle w:val="Tabletext"/>
            </w:pPr>
            <w:r>
              <w:t>5</w:t>
            </w:r>
            <w:r w:rsidR="00AD2056">
              <w:t xml:space="preserve"> </w:t>
            </w:r>
            <w:r w:rsidR="0001119F">
              <w:t>years</w:t>
            </w:r>
          </w:p>
        </w:tc>
      </w:tr>
      <w:tr w:rsidR="00AD2056" w14:paraId="5F498B81" w14:textId="77777777" w:rsidTr="00DD0CEA">
        <w:tc>
          <w:tcPr>
            <w:tcW w:w="7488" w:type="dxa"/>
            <w:shd w:val="clear" w:color="auto" w:fill="CDD9C7"/>
          </w:tcPr>
          <w:p w14:paraId="2162142D" w14:textId="77777777" w:rsidR="00AD2056" w:rsidRPr="00E70003" w:rsidRDefault="00AD2056" w:rsidP="009A7072">
            <w:pPr>
              <w:pStyle w:val="Tabletext"/>
            </w:pPr>
            <w:r w:rsidRPr="00E70003">
              <w:t>Subsidiary ledgers</w:t>
            </w:r>
          </w:p>
        </w:tc>
        <w:tc>
          <w:tcPr>
            <w:tcW w:w="2088" w:type="dxa"/>
            <w:shd w:val="clear" w:color="auto" w:fill="CDD9C7"/>
          </w:tcPr>
          <w:p w14:paraId="4AACB932" w14:textId="77777777" w:rsidR="00AD2056" w:rsidRDefault="00A61710" w:rsidP="0001119F">
            <w:pPr>
              <w:pStyle w:val="Tabletext"/>
            </w:pPr>
            <w:r>
              <w:t>5</w:t>
            </w:r>
            <w:r w:rsidR="00AD2056" w:rsidRPr="00E70003">
              <w:t xml:space="preserve"> </w:t>
            </w:r>
            <w:r w:rsidR="0001119F">
              <w:t>y</w:t>
            </w:r>
            <w:r w:rsidR="0001119F" w:rsidRPr="00E70003">
              <w:t>ears</w:t>
            </w:r>
          </w:p>
        </w:tc>
      </w:tr>
      <w:tr w:rsidR="00AD2056" w14:paraId="2AA28091" w14:textId="77777777" w:rsidTr="00DD0CEA">
        <w:tc>
          <w:tcPr>
            <w:tcW w:w="7488" w:type="dxa"/>
            <w:shd w:val="clear" w:color="auto" w:fill="CDD9C7"/>
          </w:tcPr>
          <w:p w14:paraId="2379B3A0" w14:textId="77777777" w:rsidR="00AD2056" w:rsidRPr="00E70003" w:rsidRDefault="007B4B13" w:rsidP="009A7072">
            <w:pPr>
              <w:pStyle w:val="Tabletext"/>
            </w:pPr>
            <w:r>
              <w:t>Annual filings</w:t>
            </w:r>
          </w:p>
        </w:tc>
        <w:tc>
          <w:tcPr>
            <w:tcW w:w="2088" w:type="dxa"/>
            <w:shd w:val="clear" w:color="auto" w:fill="CDD9C7"/>
          </w:tcPr>
          <w:p w14:paraId="0EECB9D9" w14:textId="77777777" w:rsidR="00AD2056" w:rsidRPr="00E70003" w:rsidRDefault="00AD2056" w:rsidP="009A7072">
            <w:pPr>
              <w:pStyle w:val="Tabletext"/>
            </w:pPr>
            <w:r w:rsidRPr="00E70003">
              <w:t>Permanent</w:t>
            </w:r>
          </w:p>
        </w:tc>
      </w:tr>
      <w:tr w:rsidR="00AD2056" w14:paraId="2C789A41" w14:textId="77777777" w:rsidTr="00DD0CEA">
        <w:tc>
          <w:tcPr>
            <w:tcW w:w="7488" w:type="dxa"/>
            <w:shd w:val="clear" w:color="auto" w:fill="CDD9C7"/>
          </w:tcPr>
          <w:p w14:paraId="372B0023" w14:textId="77777777" w:rsidR="00AD2056" w:rsidRPr="00E70003" w:rsidRDefault="00AD2056" w:rsidP="009A7072">
            <w:pPr>
              <w:pStyle w:val="Tabletext"/>
            </w:pPr>
            <w:r w:rsidRPr="00E70003">
              <w:t>Time sheets/cards/books</w:t>
            </w:r>
          </w:p>
        </w:tc>
        <w:tc>
          <w:tcPr>
            <w:tcW w:w="2088" w:type="dxa"/>
            <w:shd w:val="clear" w:color="auto" w:fill="CDD9C7"/>
          </w:tcPr>
          <w:p w14:paraId="07B100CE" w14:textId="77777777" w:rsidR="00AD2056" w:rsidRPr="00E70003" w:rsidRDefault="00AD2056" w:rsidP="0001119F">
            <w:pPr>
              <w:pStyle w:val="Tabletext"/>
            </w:pPr>
            <w:r w:rsidRPr="00E70003">
              <w:t xml:space="preserve">7 </w:t>
            </w:r>
            <w:r w:rsidR="0001119F">
              <w:t>y</w:t>
            </w:r>
            <w:r w:rsidR="0001119F" w:rsidRPr="00E70003">
              <w:t>ears</w:t>
            </w:r>
          </w:p>
        </w:tc>
      </w:tr>
      <w:tr w:rsidR="00AD2056" w14:paraId="1C5FCCA9" w14:textId="77777777" w:rsidTr="00DD0CEA">
        <w:tc>
          <w:tcPr>
            <w:tcW w:w="7488" w:type="dxa"/>
            <w:shd w:val="clear" w:color="auto" w:fill="CDD9C7"/>
          </w:tcPr>
          <w:p w14:paraId="29C28B07" w14:textId="77777777" w:rsidR="00AD2056" w:rsidRPr="00E70003" w:rsidRDefault="00AD2056" w:rsidP="009A7072">
            <w:pPr>
              <w:pStyle w:val="Tabletext"/>
            </w:pPr>
            <w:r w:rsidRPr="00E70003">
              <w:t>Vouchers for payments to vendors, employees,</w:t>
            </w:r>
            <w:r>
              <w:t xml:space="preserve"> </w:t>
            </w:r>
            <w:r w:rsidRPr="00E70003">
              <w:t>etc. (including allowances and reimbursement</w:t>
            </w:r>
            <w:r>
              <w:t xml:space="preserve"> </w:t>
            </w:r>
            <w:r w:rsidRPr="00E70003">
              <w:t>of employees, officers, etc. for travel and</w:t>
            </w:r>
            <w:r>
              <w:t xml:space="preserve"> </w:t>
            </w:r>
            <w:r w:rsidRPr="00E70003">
              <w:t>entertainment expenses)</w:t>
            </w:r>
          </w:p>
        </w:tc>
        <w:tc>
          <w:tcPr>
            <w:tcW w:w="2088" w:type="dxa"/>
            <w:shd w:val="clear" w:color="auto" w:fill="CDD9C7"/>
          </w:tcPr>
          <w:p w14:paraId="275C5619" w14:textId="77777777" w:rsidR="00AD2056" w:rsidRPr="00AD2056" w:rsidRDefault="008068FB" w:rsidP="0001119F">
            <w:pPr>
              <w:pStyle w:val="Tabletext"/>
            </w:pPr>
            <w:r>
              <w:t>5</w:t>
            </w:r>
            <w:r w:rsidR="00AD2056">
              <w:t xml:space="preserve"> </w:t>
            </w:r>
            <w:r w:rsidR="0001119F">
              <w:t>years</w:t>
            </w:r>
          </w:p>
        </w:tc>
      </w:tr>
      <w:tr w:rsidR="00AD2056" w14:paraId="34A1E26E" w14:textId="77777777" w:rsidTr="00DD0CEA">
        <w:tc>
          <w:tcPr>
            <w:tcW w:w="7488" w:type="dxa"/>
            <w:shd w:val="clear" w:color="auto" w:fill="CDD9C7"/>
          </w:tcPr>
          <w:p w14:paraId="223B1F20" w14:textId="77777777" w:rsidR="00AD2056" w:rsidRPr="00E70003" w:rsidRDefault="00AD2056" w:rsidP="009A7072">
            <w:pPr>
              <w:pStyle w:val="Tabletext"/>
            </w:pPr>
            <w:r w:rsidRPr="00E70003">
              <w:t>Withholding tax statements</w:t>
            </w:r>
          </w:p>
        </w:tc>
        <w:tc>
          <w:tcPr>
            <w:tcW w:w="2088" w:type="dxa"/>
            <w:shd w:val="clear" w:color="auto" w:fill="CDD9C7"/>
          </w:tcPr>
          <w:p w14:paraId="5125DD26" w14:textId="77777777" w:rsidR="00AD2056" w:rsidRDefault="00AD2056" w:rsidP="0001119F">
            <w:pPr>
              <w:pStyle w:val="Tabletext"/>
            </w:pPr>
            <w:r>
              <w:t xml:space="preserve">7 </w:t>
            </w:r>
            <w:r w:rsidR="0001119F">
              <w:t>years</w:t>
            </w:r>
          </w:p>
        </w:tc>
      </w:tr>
    </w:tbl>
    <w:p w14:paraId="551E498A" w14:textId="77777777" w:rsidR="00686338" w:rsidRDefault="00686338" w:rsidP="008E6C3C">
      <w:pPr>
        <w:pStyle w:val="BodyText"/>
      </w:pPr>
      <w:r>
        <w:br w:type="page"/>
      </w:r>
    </w:p>
    <w:p w14:paraId="45996F4E" w14:textId="7650A41E" w:rsidR="002B47D1" w:rsidRDefault="002B47D1" w:rsidP="002F73B9">
      <w:pPr>
        <w:pStyle w:val="Heading1"/>
      </w:pPr>
      <w:bookmarkStart w:id="304" w:name="_Toc352681874"/>
      <w:bookmarkStart w:id="305" w:name="_Toc352773536"/>
      <w:bookmarkStart w:id="306" w:name="_Toc352773636"/>
      <w:bookmarkStart w:id="307" w:name="_Toc448404255"/>
      <w:r>
        <w:lastRenderedPageBreak/>
        <w:t>Appendix</w:t>
      </w:r>
      <w:r w:rsidR="005B36D2">
        <w:t xml:space="preserve"> V</w:t>
      </w:r>
      <w:r w:rsidR="00FC6DA2">
        <w:br/>
      </w:r>
      <w:r w:rsidR="00280FFA">
        <w:t>F</w:t>
      </w:r>
      <w:r>
        <w:t>ederal Compliance Audits</w:t>
      </w:r>
      <w:bookmarkEnd w:id="304"/>
      <w:bookmarkEnd w:id="305"/>
      <w:bookmarkEnd w:id="306"/>
      <w:bookmarkEnd w:id="307"/>
    </w:p>
    <w:p w14:paraId="2A4FF022" w14:textId="15696A0A" w:rsidR="002B47D1" w:rsidRDefault="00D84707" w:rsidP="00543FB4">
      <w:pPr>
        <w:pStyle w:val="Heading2"/>
      </w:pPr>
      <w:r>
        <w:t xml:space="preserve"> </w:t>
      </w:r>
      <w:bookmarkStart w:id="308" w:name="_Toc448404256"/>
      <w:r>
        <w:t>Compliance Audits Under Uniform Guidance</w:t>
      </w:r>
      <w:bookmarkEnd w:id="308"/>
    </w:p>
    <w:p w14:paraId="57BC184D" w14:textId="03C471E0" w:rsidR="002B47D1" w:rsidRDefault="002B47D1" w:rsidP="002B47D1">
      <w:pPr>
        <w:pStyle w:val="BodyText"/>
      </w:pPr>
      <w:r>
        <w:t>The U.S. Office of Management and Budget (OMB) provides guidance on compliance audits for recipients of federal program funds. Nonprofits that spend more than $</w:t>
      </w:r>
      <w:r w:rsidR="00D84707">
        <w:t>750</w:t>
      </w:r>
      <w:r>
        <w:t>,000 of federal monies in a fiscal year are subject to audit</w:t>
      </w:r>
      <w:r w:rsidR="0024361A">
        <w:t xml:space="preserve"> requirements of </w:t>
      </w:r>
      <w:r w:rsidR="00D84707">
        <w:t>Uniform Guidance</w:t>
      </w:r>
      <w:r>
        <w:t>. These audits incorporate the following:</w:t>
      </w:r>
    </w:p>
    <w:p w14:paraId="65FD148B" w14:textId="77777777" w:rsidR="002B47D1" w:rsidRDefault="002B47D1" w:rsidP="00A85960">
      <w:pPr>
        <w:pStyle w:val="ListBullet"/>
      </w:pPr>
      <w:r>
        <w:t>Regular financial statement audits</w:t>
      </w:r>
    </w:p>
    <w:p w14:paraId="3909F8C8" w14:textId="77777777" w:rsidR="002B47D1" w:rsidRDefault="002B47D1" w:rsidP="00A85960">
      <w:pPr>
        <w:pStyle w:val="ListBullet"/>
      </w:pPr>
      <w:r>
        <w:t>Governmental Auditing Standards (the Yellow Book)</w:t>
      </w:r>
    </w:p>
    <w:p w14:paraId="4E99D3CB" w14:textId="77777777" w:rsidR="002B47D1" w:rsidRDefault="002B47D1" w:rsidP="00A85960">
      <w:pPr>
        <w:pStyle w:val="ListBullet"/>
      </w:pPr>
      <w:r>
        <w:t>Additional requirements and controls for the preparation of financial statements</w:t>
      </w:r>
    </w:p>
    <w:p w14:paraId="7E5EE2FE" w14:textId="77777777" w:rsidR="002B47D1" w:rsidRDefault="002B47D1" w:rsidP="00A85960">
      <w:pPr>
        <w:pStyle w:val="ListBullet"/>
      </w:pPr>
      <w:r>
        <w:t xml:space="preserve">Compliance with laws, regulations, contracts and grants </w:t>
      </w:r>
    </w:p>
    <w:p w14:paraId="193718B8" w14:textId="77777777" w:rsidR="002B47D1" w:rsidRDefault="002B47D1" w:rsidP="002B47D1">
      <w:pPr>
        <w:pStyle w:val="BodyText"/>
      </w:pPr>
      <w:r>
        <w:t>Auditors must test whether the organization complied with the terms of federal awards, and also whether they have proper controls over that compliance such as training of staff involved with compliance and internal verification to assure com</w:t>
      </w:r>
      <w:r w:rsidR="0024361A">
        <w:t>pliance. Compliance includes whe</w:t>
      </w:r>
      <w:r>
        <w:t>ther individuals being served are eligible for that service, whether services are performed during the time</w:t>
      </w:r>
      <w:r w:rsidR="00E27E84">
        <w:t xml:space="preserve"> </w:t>
      </w:r>
      <w:r>
        <w:t>frame required by the grant, and whether cash management requirements are in place and followed.</w:t>
      </w:r>
    </w:p>
    <w:p w14:paraId="71BC1ACA" w14:textId="77777777" w:rsidR="002F7A04" w:rsidRDefault="002F7A04" w:rsidP="002B47D1">
      <w:pPr>
        <w:pStyle w:val="BodyText"/>
      </w:pPr>
    </w:p>
    <w:p w14:paraId="585CB051" w14:textId="77777777" w:rsidR="008068FB" w:rsidRDefault="008068FB" w:rsidP="002B47D1">
      <w:pPr>
        <w:pStyle w:val="BodyText"/>
        <w:sectPr w:rsidR="008068FB" w:rsidSect="00E8263F">
          <w:footerReference w:type="default" r:id="rId22"/>
          <w:pgSz w:w="12240" w:h="15840"/>
          <w:pgMar w:top="1440" w:right="1440" w:bottom="1440" w:left="1440" w:header="720" w:footer="720" w:gutter="0"/>
          <w:cols w:space="720"/>
          <w:docGrid w:linePitch="360"/>
        </w:sectPr>
      </w:pPr>
    </w:p>
    <w:p w14:paraId="76E4F3DB" w14:textId="545436A3" w:rsidR="002F7A04" w:rsidRDefault="004F78E6" w:rsidP="002F7A04">
      <w:pPr>
        <w:pStyle w:val="Heading1"/>
      </w:pPr>
      <w:bookmarkStart w:id="309" w:name="_Ref349201206"/>
      <w:bookmarkStart w:id="310" w:name="_Toc352681877"/>
      <w:bookmarkStart w:id="311" w:name="_Toc352773539"/>
      <w:bookmarkStart w:id="312" w:name="_Toc352773639"/>
      <w:bookmarkStart w:id="313" w:name="_Toc448404257"/>
      <w:r>
        <w:lastRenderedPageBreak/>
        <w:t>Appendix VI</w:t>
      </w:r>
      <w:r w:rsidR="00FC6DA2">
        <w:br/>
      </w:r>
      <w:r w:rsidR="002F7A04">
        <w:t>Policy Development Resources</w:t>
      </w:r>
      <w:bookmarkEnd w:id="309"/>
      <w:bookmarkEnd w:id="310"/>
      <w:bookmarkEnd w:id="311"/>
      <w:bookmarkEnd w:id="312"/>
      <w:bookmarkEnd w:id="313"/>
    </w:p>
    <w:p w14:paraId="486C0FFE" w14:textId="77777777" w:rsidR="002F7A04" w:rsidRDefault="009C3DF1" w:rsidP="002B47D1">
      <w:pPr>
        <w:pStyle w:val="BodyText"/>
      </w:pPr>
      <w:r>
        <w:t>In this appendix are resources for developing policies for nonprofit organizations</w:t>
      </w:r>
      <w:r w:rsidR="0024361A">
        <w:t>. They are generally generic in</w:t>
      </w:r>
      <w:r>
        <w:t xml:space="preserve"> nature, yet can be quite useful as models. Along with financial management policies, there are also resources for other policies: personnel, whistleblower, conduct, etc.</w:t>
      </w:r>
    </w:p>
    <w:p w14:paraId="74AE71CA" w14:textId="77777777" w:rsidR="009416C3" w:rsidRDefault="009416C3" w:rsidP="009416C3">
      <w:pPr>
        <w:pStyle w:val="Heading2"/>
      </w:pPr>
      <w:bookmarkStart w:id="314" w:name="_Toc352681878"/>
      <w:bookmarkStart w:id="315" w:name="_Toc352773540"/>
      <w:bookmarkStart w:id="316" w:name="_Toc352773640"/>
      <w:bookmarkStart w:id="317" w:name="_Toc448404258"/>
      <w:r>
        <w:t xml:space="preserve">Financial </w:t>
      </w:r>
      <w:r w:rsidR="005D090A">
        <w:t xml:space="preserve">Management </w:t>
      </w:r>
      <w:r>
        <w:t>an</w:t>
      </w:r>
      <w:r w:rsidR="00B83681">
        <w:t>d</w:t>
      </w:r>
      <w:r>
        <w:t xml:space="preserve"> Related Policies</w:t>
      </w:r>
      <w:bookmarkEnd w:id="314"/>
      <w:bookmarkEnd w:id="315"/>
      <w:bookmarkEnd w:id="316"/>
      <w:bookmarkEnd w:id="317"/>
    </w:p>
    <w:p w14:paraId="63504F83" w14:textId="77777777" w:rsidR="00AC6B37" w:rsidRDefault="00AC6B37" w:rsidP="00720DE2">
      <w:pPr>
        <w:pStyle w:val="ListBullet"/>
      </w:pPr>
      <w:r>
        <w:t xml:space="preserve">Financial Management Resources from </w:t>
      </w:r>
      <w:r w:rsidR="00E27E84">
        <w:t xml:space="preserve">the </w:t>
      </w:r>
      <w:r>
        <w:t xml:space="preserve">Council of Nonprofits: </w:t>
      </w:r>
      <w:hyperlink r:id="rId23" w:history="1">
        <w:r w:rsidR="003E45DA" w:rsidRPr="00C50759">
          <w:rPr>
            <w:rStyle w:val="Hyperlink"/>
          </w:rPr>
          <w:t>http://www.councilofnonprofits.org/resources/financial-management</w:t>
        </w:r>
      </w:hyperlink>
      <w:r w:rsidR="003E45DA">
        <w:t xml:space="preserve"> </w:t>
      </w:r>
    </w:p>
    <w:p w14:paraId="1B073B9E" w14:textId="77777777" w:rsidR="00720DE2" w:rsidRDefault="004A4FDD" w:rsidP="00720DE2">
      <w:pPr>
        <w:pStyle w:val="ListBullet"/>
      </w:pPr>
      <w:r>
        <w:t xml:space="preserve">Guide for Developing a Comprehensive Financial Plan </w:t>
      </w:r>
      <w:r w:rsidR="005D090A">
        <w:t xml:space="preserve">from </w:t>
      </w:r>
      <w:r w:rsidR="00674135">
        <w:t xml:space="preserve">the </w:t>
      </w:r>
      <w:r w:rsidR="005D090A">
        <w:t xml:space="preserve">Nonprofit Risk Management Center </w:t>
      </w:r>
      <w:r>
        <w:t xml:space="preserve">(Available for Purchase): </w:t>
      </w:r>
      <w:hyperlink r:id="rId24" w:history="1">
        <w:r w:rsidR="003E45DA" w:rsidRPr="00C50759">
          <w:rPr>
            <w:rStyle w:val="Hyperlink"/>
          </w:rPr>
          <w:t>https://www.nonprofitrisk.org/tools/mfmp/mfmp.shtml</w:t>
        </w:r>
      </w:hyperlink>
      <w:r w:rsidR="003E45DA">
        <w:t xml:space="preserve"> </w:t>
      </w:r>
    </w:p>
    <w:p w14:paraId="7F86ECDE" w14:textId="77777777" w:rsidR="00720DE2" w:rsidRDefault="004A4FDD" w:rsidP="00720DE2">
      <w:pPr>
        <w:pStyle w:val="ListBullet"/>
      </w:pPr>
      <w:r>
        <w:t>Newsletter and Website on Nonprofit Management</w:t>
      </w:r>
      <w:r w:rsidR="005D090A">
        <w:t xml:space="preserve"> from Blue Avocado Newsletter</w:t>
      </w:r>
      <w:r>
        <w:t xml:space="preserve">: </w:t>
      </w:r>
      <w:hyperlink r:id="rId25" w:history="1">
        <w:r w:rsidR="003E45DA" w:rsidRPr="00C50759">
          <w:rPr>
            <w:rStyle w:val="Hyperlink"/>
          </w:rPr>
          <w:t>http://www.blueavocado.org/</w:t>
        </w:r>
      </w:hyperlink>
      <w:r w:rsidR="003E45DA">
        <w:t xml:space="preserve"> </w:t>
      </w:r>
    </w:p>
    <w:p w14:paraId="763A03FF" w14:textId="77777777" w:rsidR="00720DE2" w:rsidRDefault="004A4FDD" w:rsidP="00720DE2">
      <w:pPr>
        <w:pStyle w:val="ListBullet"/>
      </w:pPr>
      <w:r>
        <w:t xml:space="preserve">Article </w:t>
      </w:r>
      <w:r w:rsidR="009416C3">
        <w:t xml:space="preserve">on </w:t>
      </w:r>
      <w:r>
        <w:t>Internal Controls</w:t>
      </w:r>
      <w:r w:rsidR="005D090A">
        <w:t xml:space="preserve"> from Blue Avocado Newsletter</w:t>
      </w:r>
      <w:r>
        <w:t>:</w:t>
      </w:r>
      <w:r w:rsidR="00573BF4">
        <w:t xml:space="preserve"> </w:t>
      </w:r>
      <w:hyperlink r:id="rId26" w:history="1">
        <w:r w:rsidR="003E45DA" w:rsidRPr="00C50759">
          <w:rPr>
            <w:rStyle w:val="Hyperlink"/>
          </w:rPr>
          <w:t>http://www.blueavocado.org/content/five-internal-controls-very-small-nonprofit</w:t>
        </w:r>
      </w:hyperlink>
      <w:r w:rsidR="003E45DA">
        <w:t xml:space="preserve"> </w:t>
      </w:r>
    </w:p>
    <w:p w14:paraId="2AB83783" w14:textId="77777777" w:rsidR="00720DE2" w:rsidRDefault="004A4FDD" w:rsidP="00720DE2">
      <w:pPr>
        <w:pStyle w:val="ListBullet"/>
      </w:pPr>
      <w:r>
        <w:t xml:space="preserve">Article </w:t>
      </w:r>
      <w:r w:rsidR="009416C3">
        <w:t xml:space="preserve">on Nonprofit </w:t>
      </w:r>
      <w:r>
        <w:t>Budgeting</w:t>
      </w:r>
      <w:r w:rsidR="005D090A">
        <w:t xml:space="preserve"> from Blue Avocado Newsletter</w:t>
      </w:r>
      <w:r>
        <w:t>:</w:t>
      </w:r>
      <w:r w:rsidR="00573BF4">
        <w:t xml:space="preserve"> </w:t>
      </w:r>
      <w:hyperlink r:id="rId27" w:history="1">
        <w:r w:rsidR="003E45DA" w:rsidRPr="00C50759">
          <w:rPr>
            <w:rStyle w:val="Hyperlink"/>
          </w:rPr>
          <w:t>http://www.blueavocado.org/content/focus-destination-not-route-budget</w:t>
        </w:r>
      </w:hyperlink>
      <w:r w:rsidR="003E45DA">
        <w:t xml:space="preserve"> </w:t>
      </w:r>
    </w:p>
    <w:p w14:paraId="78366963" w14:textId="77777777" w:rsidR="004A4FDD" w:rsidRDefault="004A4FDD" w:rsidP="00720DE2">
      <w:pPr>
        <w:pStyle w:val="ListBullet"/>
      </w:pPr>
      <w:r>
        <w:t xml:space="preserve">Article </w:t>
      </w:r>
      <w:r w:rsidR="009416C3">
        <w:t xml:space="preserve">on Nonprofit </w:t>
      </w:r>
      <w:r>
        <w:t>Audits</w:t>
      </w:r>
      <w:r w:rsidR="005D090A">
        <w:t xml:space="preserve"> from Blue Avocado Newsletter</w:t>
      </w:r>
      <w:r>
        <w:t>:</w:t>
      </w:r>
      <w:r w:rsidR="00573BF4">
        <w:t xml:space="preserve"> </w:t>
      </w:r>
      <w:hyperlink r:id="rId28" w:history="1">
        <w:r w:rsidR="003E45DA" w:rsidRPr="00C50759">
          <w:rPr>
            <w:rStyle w:val="Hyperlink"/>
          </w:rPr>
          <w:t>http://www.blueavocado.org/content/get-most-value-your-audit</w:t>
        </w:r>
      </w:hyperlink>
      <w:r w:rsidR="003E45DA">
        <w:t xml:space="preserve"> </w:t>
      </w:r>
    </w:p>
    <w:p w14:paraId="5A760222" w14:textId="77777777" w:rsidR="008D3A82" w:rsidRDefault="008D3A82" w:rsidP="00720DE2">
      <w:pPr>
        <w:pStyle w:val="Heading2"/>
      </w:pPr>
      <w:bookmarkStart w:id="318" w:name="_Toc352681879"/>
      <w:bookmarkStart w:id="319" w:name="_Toc352773541"/>
      <w:bookmarkStart w:id="320" w:name="_Toc352773641"/>
      <w:bookmarkStart w:id="321" w:name="_Toc448404259"/>
      <w:r>
        <w:t>Risk Management</w:t>
      </w:r>
      <w:bookmarkEnd w:id="318"/>
      <w:bookmarkEnd w:id="319"/>
      <w:bookmarkEnd w:id="320"/>
      <w:bookmarkEnd w:id="321"/>
    </w:p>
    <w:p w14:paraId="7C3CC643" w14:textId="77777777" w:rsidR="00720DE2" w:rsidRDefault="008D3A82" w:rsidP="00720DE2">
      <w:pPr>
        <w:pStyle w:val="ListBullet"/>
      </w:pPr>
      <w:r>
        <w:t xml:space="preserve">Newsletter on Risk Management from </w:t>
      </w:r>
      <w:r w:rsidR="00674135">
        <w:t xml:space="preserve">the </w:t>
      </w:r>
      <w:r>
        <w:t>Nonprofit Risk Management Center:</w:t>
      </w:r>
      <w:r w:rsidR="00573BF4">
        <w:t xml:space="preserve"> </w:t>
      </w:r>
      <w:hyperlink r:id="rId29" w:history="1">
        <w:r w:rsidR="003E45DA" w:rsidRPr="00C50759">
          <w:rPr>
            <w:rStyle w:val="Hyperlink"/>
          </w:rPr>
          <w:t>https://www.nonprofitrisk.org/</w:t>
        </w:r>
      </w:hyperlink>
      <w:r w:rsidR="003E45DA">
        <w:t xml:space="preserve"> </w:t>
      </w:r>
    </w:p>
    <w:p w14:paraId="428EF878" w14:textId="77777777" w:rsidR="00F7245E" w:rsidRPr="008E6C3C" w:rsidRDefault="008D3A82" w:rsidP="003A5629">
      <w:pPr>
        <w:pStyle w:val="ListBullet"/>
      </w:pPr>
      <w:r>
        <w:t>Risk Management Policies from the Nonprofit Risk Management Center (Available for Purchase):</w:t>
      </w:r>
      <w:r w:rsidR="00573BF4">
        <w:t xml:space="preserve"> </w:t>
      </w:r>
      <w:hyperlink r:id="rId30" w:history="1">
        <w:r w:rsidR="003E45DA" w:rsidRPr="00C50759">
          <w:rPr>
            <w:rStyle w:val="Hyperlink"/>
          </w:rPr>
          <w:t>https://www.nonprofitrisk.org/tools/mrmp/mrmp.shtml</w:t>
        </w:r>
      </w:hyperlink>
      <w:r w:rsidR="003E45DA">
        <w:t xml:space="preserve"> </w:t>
      </w:r>
    </w:p>
    <w:p w14:paraId="01DEDE74" w14:textId="320B5193" w:rsidR="00F7245E" w:rsidRDefault="00F7245E" w:rsidP="00F7245E">
      <w:pPr>
        <w:pStyle w:val="Heading2"/>
      </w:pPr>
      <w:bookmarkStart w:id="322" w:name="_Toc352681880"/>
      <w:bookmarkStart w:id="323" w:name="_Toc352773542"/>
      <w:bookmarkStart w:id="324" w:name="_Toc352773642"/>
      <w:bookmarkStart w:id="325" w:name="_Toc448404260"/>
      <w:r>
        <w:t>Indirect Cost Rates</w:t>
      </w:r>
      <w:bookmarkEnd w:id="322"/>
      <w:bookmarkEnd w:id="323"/>
      <w:bookmarkEnd w:id="324"/>
      <w:r w:rsidR="00CA6E92">
        <w:t xml:space="preserve"> and Indirect Cost Rate Proposals</w:t>
      </w:r>
      <w:bookmarkEnd w:id="325"/>
    </w:p>
    <w:p w14:paraId="113F0E12" w14:textId="14503F66" w:rsidR="00480CDF" w:rsidRPr="008E6C3C" w:rsidRDefault="00480CDF" w:rsidP="00480CDF">
      <w:pPr>
        <w:pStyle w:val="ListBullet"/>
      </w:pPr>
      <w:r w:rsidRPr="008E6C3C">
        <w:t xml:space="preserve">How to Prepare an </w:t>
      </w:r>
      <w:r w:rsidR="00CA6E92" w:rsidRPr="008E6C3C">
        <w:t>Indirect Cost Rate Proposal</w:t>
      </w:r>
      <w:r w:rsidRPr="008E6C3C">
        <w:t xml:space="preserve">: on-demand IL-NET webinar available at </w:t>
      </w:r>
      <w:hyperlink r:id="rId31" w:history="1">
        <w:r w:rsidRPr="008F6B4D">
          <w:rPr>
            <w:rStyle w:val="Hyperlink"/>
          </w:rPr>
          <w:t>http://www.ilru.org/training/how-prepare-indirect-cost-rate-proposal</w:t>
        </w:r>
      </w:hyperlink>
      <w:r w:rsidR="007823A2">
        <w:t xml:space="preserve"> </w:t>
      </w:r>
    </w:p>
    <w:p w14:paraId="2015AE5E" w14:textId="501569BB" w:rsidR="00F738D8" w:rsidRPr="00CA6E92" w:rsidRDefault="00CA6E92" w:rsidP="00CA6E92">
      <w:pPr>
        <w:pStyle w:val="ListBullet"/>
      </w:pPr>
      <w:r w:rsidRPr="00CA6E92">
        <w:t>Contact ILRU with questions as you prepare your proposal, or send a draft of your proposal to ILRU for evaluation.</w:t>
      </w:r>
    </w:p>
    <w:p w14:paraId="7ACF1D98" w14:textId="77777777" w:rsidR="00F738D8" w:rsidRPr="00CA6E92" w:rsidRDefault="00CA6E92" w:rsidP="00CA6E92">
      <w:pPr>
        <w:pStyle w:val="ListBullet"/>
      </w:pPr>
      <w:r w:rsidRPr="00CA6E92">
        <w:t>Here are links to HHS guidance for CILs, their sample indirect cost rate proposal, and an indirect cost rate proposal checklist.</w:t>
      </w:r>
    </w:p>
    <w:p w14:paraId="76AF3B10" w14:textId="77777777" w:rsidR="00F738D8" w:rsidRPr="00CA6E92" w:rsidRDefault="00472094" w:rsidP="00480CDF">
      <w:pPr>
        <w:pStyle w:val="ListBullet2"/>
      </w:pPr>
      <w:hyperlink r:id="rId32" w:history="1">
        <w:r w:rsidR="00CA6E92" w:rsidRPr="00CA6E92">
          <w:rPr>
            <w:rStyle w:val="Hyperlink"/>
          </w:rPr>
          <w:t>https://</w:t>
        </w:r>
      </w:hyperlink>
      <w:hyperlink r:id="rId33" w:history="1">
        <w:r w:rsidR="00CA6E92" w:rsidRPr="00CA6E92">
          <w:rPr>
            <w:rStyle w:val="Hyperlink"/>
          </w:rPr>
          <w:t>rates.psc.gov/fms/dca/CIL%20guidance.pdf</w:t>
        </w:r>
      </w:hyperlink>
      <w:r w:rsidR="00CA6E92" w:rsidRPr="00CA6E92">
        <w:t xml:space="preserve"> </w:t>
      </w:r>
    </w:p>
    <w:p w14:paraId="51E04835" w14:textId="77777777" w:rsidR="00480CDF" w:rsidRPr="008E6C3C" w:rsidRDefault="00472094" w:rsidP="008E6C3C">
      <w:pPr>
        <w:pStyle w:val="ListBullet2"/>
      </w:pPr>
      <w:hyperlink r:id="rId34" w:history="1">
        <w:r w:rsidR="00CA6E92" w:rsidRPr="00CA6E92">
          <w:rPr>
            <w:rStyle w:val="Hyperlink"/>
          </w:rPr>
          <w:t>https://</w:t>
        </w:r>
      </w:hyperlink>
      <w:hyperlink r:id="rId35" w:history="1">
        <w:r w:rsidR="00CA6E92" w:rsidRPr="00CA6E92">
          <w:rPr>
            <w:rStyle w:val="Hyperlink"/>
          </w:rPr>
          <w:t>rates.psc.gov/fms/dca/np_exall2.html</w:t>
        </w:r>
      </w:hyperlink>
    </w:p>
    <w:p w14:paraId="3B79D5C4" w14:textId="0BEE8DC8" w:rsidR="00F738D8" w:rsidRPr="00CA6E92" w:rsidRDefault="00472094" w:rsidP="00480CDF">
      <w:pPr>
        <w:pStyle w:val="ListBullet2"/>
      </w:pPr>
      <w:hyperlink r:id="rId36" w:history="1">
        <w:r w:rsidR="00CA6E92" w:rsidRPr="00CA6E92">
          <w:rPr>
            <w:rStyle w:val="Hyperlink"/>
          </w:rPr>
          <w:t>https</w:t>
        </w:r>
      </w:hyperlink>
      <w:hyperlink r:id="rId37" w:history="1">
        <w:r w:rsidR="00CA6E92" w:rsidRPr="00CA6E92">
          <w:rPr>
            <w:rStyle w:val="Hyperlink"/>
          </w:rPr>
          <w:t>://rates.psc.gov/fms/dca/icpchecklist.pdf</w:t>
        </w:r>
      </w:hyperlink>
      <w:r w:rsidR="00CA6E92" w:rsidRPr="00CA6E92">
        <w:t xml:space="preserve"> </w:t>
      </w:r>
    </w:p>
    <w:p w14:paraId="0E19FFEA" w14:textId="77777777" w:rsidR="00AC6B37" w:rsidRDefault="00AC6B37" w:rsidP="00B85014">
      <w:pPr>
        <w:pStyle w:val="Heading2"/>
      </w:pPr>
      <w:bookmarkStart w:id="326" w:name="_Toc352681882"/>
      <w:bookmarkStart w:id="327" w:name="_Toc352773544"/>
      <w:bookmarkStart w:id="328" w:name="_Toc352773644"/>
      <w:bookmarkStart w:id="329" w:name="_Toc448404261"/>
      <w:r>
        <w:lastRenderedPageBreak/>
        <w:t>Personnel Management</w:t>
      </w:r>
      <w:bookmarkEnd w:id="326"/>
      <w:bookmarkEnd w:id="327"/>
      <w:bookmarkEnd w:id="328"/>
      <w:bookmarkEnd w:id="329"/>
    </w:p>
    <w:p w14:paraId="167B7785" w14:textId="77777777" w:rsidR="00AC6B37" w:rsidRDefault="00AC6B37" w:rsidP="00720DE2">
      <w:pPr>
        <w:pStyle w:val="ListBullet"/>
      </w:pPr>
      <w:r>
        <w:t xml:space="preserve">Frequently Asked Questions on </w:t>
      </w:r>
      <w:r w:rsidRPr="00AC6B37">
        <w:t xml:space="preserve">Employment Practices </w:t>
      </w:r>
      <w:r>
        <w:t xml:space="preserve">from </w:t>
      </w:r>
      <w:r w:rsidR="00674135">
        <w:t xml:space="preserve">the </w:t>
      </w:r>
      <w:r>
        <w:t xml:space="preserve">Nonprofit Risk </w:t>
      </w:r>
      <w:r w:rsidR="00674135">
        <w:t xml:space="preserve">Management </w:t>
      </w:r>
      <w:r>
        <w:t xml:space="preserve">Center: </w:t>
      </w:r>
      <w:hyperlink r:id="rId38" w:history="1">
        <w:r w:rsidR="003E45DA" w:rsidRPr="00C50759">
          <w:rPr>
            <w:rStyle w:val="Hyperlink"/>
          </w:rPr>
          <w:t>http://www.nonprofitrisk.org/advice/faqs/employment2.shtml</w:t>
        </w:r>
      </w:hyperlink>
      <w:r w:rsidR="003E45DA">
        <w:t xml:space="preserve"> </w:t>
      </w:r>
    </w:p>
    <w:p w14:paraId="19A4F60C" w14:textId="77777777" w:rsidR="00AC6B37" w:rsidRDefault="00AC6B37" w:rsidP="00720DE2">
      <w:pPr>
        <w:pStyle w:val="ListBullet"/>
      </w:pPr>
      <w:r>
        <w:t xml:space="preserve">Guide on Employment Practices from the Nonprofit Risk Management Center (Available for Purchase): </w:t>
      </w:r>
      <w:hyperlink r:id="rId39" w:history="1">
        <w:r w:rsidR="003E45DA" w:rsidRPr="00C50759">
          <w:rPr>
            <w:rStyle w:val="Hyperlink"/>
          </w:rPr>
          <w:t>http://www.nonprofitrisk.org/store/pub_detail.asp?id=60</w:t>
        </w:r>
      </w:hyperlink>
      <w:r w:rsidR="003E45DA">
        <w:t xml:space="preserve"> </w:t>
      </w:r>
    </w:p>
    <w:p w14:paraId="687FDDD5" w14:textId="77777777" w:rsidR="00B85014" w:rsidRDefault="00B85014" w:rsidP="00B85014">
      <w:pPr>
        <w:pStyle w:val="Heading2"/>
      </w:pPr>
      <w:bookmarkStart w:id="330" w:name="_Toc352681883"/>
      <w:bookmarkStart w:id="331" w:name="_Toc352773545"/>
      <w:bookmarkStart w:id="332" w:name="_Toc352773645"/>
      <w:bookmarkStart w:id="333" w:name="_Toc448404262"/>
      <w:r>
        <w:t>Whistleblower Policies</w:t>
      </w:r>
      <w:bookmarkEnd w:id="330"/>
      <w:bookmarkEnd w:id="331"/>
      <w:bookmarkEnd w:id="332"/>
      <w:bookmarkEnd w:id="333"/>
    </w:p>
    <w:p w14:paraId="0C6E2C6B" w14:textId="77777777" w:rsidR="004A4FDD" w:rsidRDefault="004A4FDD" w:rsidP="00720DE2">
      <w:pPr>
        <w:pStyle w:val="ListBullet"/>
      </w:pPr>
      <w:r>
        <w:t xml:space="preserve">Sample </w:t>
      </w:r>
      <w:r w:rsidR="006644D1">
        <w:t>W</w:t>
      </w:r>
      <w:r>
        <w:t xml:space="preserve">histleblower </w:t>
      </w:r>
      <w:r w:rsidR="006644D1">
        <w:t>P</w:t>
      </w:r>
      <w:r>
        <w:t>olicy</w:t>
      </w:r>
      <w:r w:rsidR="00762B50">
        <w:t xml:space="preserve"> from Blue Avocado Newsletter</w:t>
      </w:r>
      <w:r>
        <w:t>:</w:t>
      </w:r>
      <w:r w:rsidR="00573BF4">
        <w:t xml:space="preserve"> </w:t>
      </w:r>
      <w:hyperlink r:id="rId40" w:history="1">
        <w:r w:rsidR="003E45DA" w:rsidRPr="00C50759">
          <w:rPr>
            <w:rStyle w:val="Hyperlink"/>
          </w:rPr>
          <w:t>http://www.blueavocado.org/content/model-whistleblower-policy-nonprofits</w:t>
        </w:r>
      </w:hyperlink>
      <w:r w:rsidR="003E45DA">
        <w:t xml:space="preserve"> </w:t>
      </w:r>
    </w:p>
    <w:p w14:paraId="79AAB7E5" w14:textId="77777777" w:rsidR="004A4FDD" w:rsidRDefault="006644D1" w:rsidP="00720DE2">
      <w:pPr>
        <w:pStyle w:val="ListBullet"/>
      </w:pPr>
      <w:r>
        <w:t>Information on W</w:t>
      </w:r>
      <w:r w:rsidR="004A4FDD">
        <w:t xml:space="preserve">histleblower </w:t>
      </w:r>
      <w:r>
        <w:t>P</w:t>
      </w:r>
      <w:r w:rsidR="004A4FDD">
        <w:t>olic</w:t>
      </w:r>
      <w:r>
        <w:t>ies</w:t>
      </w:r>
      <w:r w:rsidR="00762B50">
        <w:t xml:space="preserve"> from </w:t>
      </w:r>
      <w:r w:rsidR="00674135">
        <w:t xml:space="preserve">the </w:t>
      </w:r>
      <w:r w:rsidR="00762B50">
        <w:t xml:space="preserve">Nonprofit Risk </w:t>
      </w:r>
      <w:r w:rsidR="00674135">
        <w:t xml:space="preserve">Management </w:t>
      </w:r>
      <w:r w:rsidR="00762B50">
        <w:t>Center</w:t>
      </w:r>
      <w:r w:rsidR="004A4FDD">
        <w:t>:</w:t>
      </w:r>
      <w:r w:rsidR="00573BF4">
        <w:t xml:space="preserve"> </w:t>
      </w:r>
      <w:hyperlink r:id="rId41" w:history="1">
        <w:r w:rsidR="003E45DA" w:rsidRPr="00C50759">
          <w:rPr>
            <w:rStyle w:val="Hyperlink"/>
          </w:rPr>
          <w:t>http://www.nonprofitrisk.org/library/articles/employment091005.shtml</w:t>
        </w:r>
      </w:hyperlink>
      <w:r w:rsidR="003E45DA">
        <w:t xml:space="preserve"> </w:t>
      </w:r>
    </w:p>
    <w:p w14:paraId="255DC0C8" w14:textId="77777777" w:rsidR="008D3A82" w:rsidRDefault="008D3A82" w:rsidP="00720DE2">
      <w:pPr>
        <w:pStyle w:val="Heading2"/>
      </w:pPr>
      <w:bookmarkStart w:id="334" w:name="_Toc352681884"/>
      <w:bookmarkStart w:id="335" w:name="_Toc352773546"/>
      <w:bookmarkStart w:id="336" w:name="_Toc352773646"/>
      <w:bookmarkStart w:id="337" w:name="_Toc448404263"/>
      <w:r>
        <w:t>Codes of Conduct and Corporate Compliance</w:t>
      </w:r>
      <w:bookmarkEnd w:id="334"/>
      <w:bookmarkEnd w:id="335"/>
      <w:bookmarkEnd w:id="336"/>
      <w:bookmarkEnd w:id="337"/>
    </w:p>
    <w:p w14:paraId="18B98469" w14:textId="77777777" w:rsidR="004A4FDD" w:rsidRDefault="004A4FDD" w:rsidP="00720DE2">
      <w:pPr>
        <w:pStyle w:val="ListBullet"/>
      </w:pPr>
      <w:r>
        <w:t xml:space="preserve">Article on </w:t>
      </w:r>
      <w:r w:rsidR="006644D1">
        <w:t>C</w:t>
      </w:r>
      <w:r>
        <w:t xml:space="preserve">odes of </w:t>
      </w:r>
      <w:r w:rsidR="006644D1">
        <w:t>E</w:t>
      </w:r>
      <w:r>
        <w:t>thics</w:t>
      </w:r>
      <w:r w:rsidR="00762B50">
        <w:t xml:space="preserve"> from </w:t>
      </w:r>
      <w:r w:rsidR="00AF36E6">
        <w:t xml:space="preserve">the </w:t>
      </w:r>
      <w:r w:rsidR="00762B50">
        <w:t>Council on Nonprofits</w:t>
      </w:r>
      <w:r>
        <w:t>:</w:t>
      </w:r>
      <w:r w:rsidR="00573BF4">
        <w:t xml:space="preserve"> </w:t>
      </w:r>
      <w:hyperlink r:id="rId42" w:history="1">
        <w:r w:rsidR="003E45DA" w:rsidRPr="00C50759">
          <w:rPr>
            <w:rStyle w:val="Hyperlink"/>
          </w:rPr>
          <w:t>http://www.councilofnonprofits.org/resources/resources-topic/ethics-accountability</w:t>
        </w:r>
      </w:hyperlink>
      <w:r w:rsidR="003E45DA">
        <w:t xml:space="preserve"> </w:t>
      </w:r>
    </w:p>
    <w:p w14:paraId="20197C20" w14:textId="77777777" w:rsidR="008D3A82" w:rsidRDefault="008D3A82" w:rsidP="00720DE2">
      <w:pPr>
        <w:pStyle w:val="ListBullet"/>
      </w:pPr>
      <w:r w:rsidRPr="008D3A82">
        <w:t>Explanation of Corporate Compliance from CARF:</w:t>
      </w:r>
      <w:r w:rsidR="00573BF4">
        <w:t xml:space="preserve"> </w:t>
      </w:r>
      <w:hyperlink r:id="rId43" w:history="1">
        <w:r w:rsidR="003E45DA" w:rsidRPr="00C50759">
          <w:rPr>
            <w:rStyle w:val="Hyperlink"/>
          </w:rPr>
          <w:t>http://www.carf.org/WorkArea/DownloadAsset.aspx?id=22494</w:t>
        </w:r>
      </w:hyperlink>
      <w:r w:rsidR="003E45DA">
        <w:t xml:space="preserve"> </w:t>
      </w:r>
    </w:p>
    <w:p w14:paraId="79494C4D" w14:textId="2ECC1786" w:rsidR="00D84707" w:rsidRPr="008E6C3C" w:rsidRDefault="00762B50" w:rsidP="00480CDF">
      <w:pPr>
        <w:pStyle w:val="Heading2"/>
      </w:pPr>
      <w:bookmarkStart w:id="338" w:name="_Toc352681885"/>
      <w:bookmarkStart w:id="339" w:name="_Toc352773547"/>
      <w:bookmarkStart w:id="340" w:name="_Toc352773647"/>
      <w:bookmarkStart w:id="341" w:name="_Toc448404264"/>
      <w:r>
        <w:t>Federal</w:t>
      </w:r>
      <w:r w:rsidR="00B85014">
        <w:t xml:space="preserve"> </w:t>
      </w:r>
      <w:r w:rsidR="00B85014" w:rsidRPr="00B85014">
        <w:t>Regulations</w:t>
      </w:r>
      <w:r w:rsidR="00573BF4">
        <w:t xml:space="preserve"> and Resources</w:t>
      </w:r>
      <w:bookmarkEnd w:id="338"/>
      <w:bookmarkEnd w:id="339"/>
      <w:bookmarkEnd w:id="340"/>
      <w:bookmarkEnd w:id="341"/>
    </w:p>
    <w:p w14:paraId="0C011B50" w14:textId="77777777" w:rsidR="00D84707" w:rsidRDefault="00D84707" w:rsidP="00D84707">
      <w:pPr>
        <w:pStyle w:val="ListBullet"/>
      </w:pPr>
      <w:r>
        <w:t xml:space="preserve">Uniform Guidance </w:t>
      </w:r>
      <w:hyperlink r:id="rId44" w:history="1">
        <w:r w:rsidRPr="00646CB2">
          <w:rPr>
            <w:rStyle w:val="Hyperlink"/>
          </w:rPr>
          <w:t>http://www.ecfr.gov/cgi-bin/text-idx?SID=6214841a79953f26c5c230d72d6b70a1&amp;tpl=/ecfrbrowse/Title02/2cfr200_main_02.tpl</w:t>
        </w:r>
      </w:hyperlink>
    </w:p>
    <w:p w14:paraId="02A184CE" w14:textId="4C43A010" w:rsidR="004A4FDD" w:rsidRPr="00E70003" w:rsidRDefault="00D84707" w:rsidP="00480CDF">
      <w:pPr>
        <w:pStyle w:val="ListBullet"/>
      </w:pPr>
      <w:r>
        <w:t>U</w:t>
      </w:r>
      <w:r w:rsidR="00480CDF">
        <w:t>.</w:t>
      </w:r>
      <w:r>
        <w:t>S</w:t>
      </w:r>
      <w:r w:rsidR="00480CDF">
        <w:t>.</w:t>
      </w:r>
      <w:r>
        <w:t xml:space="preserve"> Department of Health and Human Services Guidance for Centers for Independent Living Grantees </w:t>
      </w:r>
      <w:hyperlink r:id="rId45" w:anchor="cil" w:history="1">
        <w:r w:rsidRPr="00646CB2">
          <w:rPr>
            <w:rStyle w:val="Hyperlink"/>
          </w:rPr>
          <w:t>http://www.acl.gov/Programs/AoD/ILA/Index.aspx#cil</w:t>
        </w:r>
      </w:hyperlink>
      <w:r>
        <w:t xml:space="preserve"> </w:t>
      </w:r>
    </w:p>
    <w:sectPr w:rsidR="004A4FDD" w:rsidRPr="00E70003" w:rsidSect="00E8263F">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8D4B2" w14:textId="77777777" w:rsidR="00472094" w:rsidRDefault="00472094">
      <w:r>
        <w:separator/>
      </w:r>
    </w:p>
    <w:p w14:paraId="3AD483D6" w14:textId="77777777" w:rsidR="00472094" w:rsidRDefault="00472094"/>
  </w:endnote>
  <w:endnote w:type="continuationSeparator" w:id="0">
    <w:p w14:paraId="75BAB8E3" w14:textId="77777777" w:rsidR="00472094" w:rsidRDefault="00472094">
      <w:r>
        <w:continuationSeparator/>
      </w:r>
    </w:p>
    <w:p w14:paraId="1753D614" w14:textId="77777777" w:rsidR="00472094" w:rsidRDefault="00472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BA252" w14:textId="77777777" w:rsidR="00F353EF" w:rsidRDefault="00F353EF">
    <w:pPr>
      <w:kinsoku w:val="0"/>
      <w:overflowPunct w:val="0"/>
      <w:textAlignment w:val="baseline"/>
      <w:rPr>
        <w:sz w:val="16"/>
        <w:szCs w:val="16"/>
      </w:rPr>
    </w:pPr>
    <w:r>
      <w:rPr>
        <w:noProof/>
        <w:lang w:bidi="ar-SA"/>
      </w:rPr>
      <mc:AlternateContent>
        <mc:Choice Requires="wps">
          <w:drawing>
            <wp:anchor distT="0" distB="0" distL="0" distR="0" simplePos="0" relativeHeight="251656192" behindDoc="0" locked="0" layoutInCell="0" allowOverlap="1" wp14:anchorId="2472C203" wp14:editId="6189C295">
              <wp:simplePos x="0" y="0"/>
              <wp:positionH relativeFrom="page">
                <wp:posOffset>1035050</wp:posOffset>
              </wp:positionH>
              <wp:positionV relativeFrom="paragraph">
                <wp:posOffset>0</wp:posOffset>
              </wp:positionV>
              <wp:extent cx="5556250" cy="1600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27C86" w14:textId="77777777" w:rsidR="00F353EF" w:rsidRDefault="00F353EF">
                          <w:pPr>
                            <w:keepNext/>
                            <w:keepLines/>
                            <w:kinsoku w:val="0"/>
                            <w:overflowPunct w:val="0"/>
                            <w:ind w:left="72"/>
                            <w:textAlignment w:val="baseline"/>
                            <w:rPr>
                              <w:b/>
                              <w:bCs/>
                              <w:spacing w:val="-4"/>
                            </w:rPr>
                          </w:pPr>
                          <w:r w:rsidRPr="00F51C95">
                            <w:rPr>
                              <w:b/>
                              <w:bCs/>
                              <w:spacing w:val="-4"/>
                            </w:rPr>
                            <w:t xml:space="preserve">an activity as opposed to alcohol beverages which are simply a cost an activity as opposed to alcohol beverages which are simply a cost </w:t>
                          </w:r>
                          <w:r w:rsidRPr="00805C8A">
                            <w:rPr>
                              <w:b/>
                              <w:bCs/>
                              <w:spacing w:val="-4"/>
                            </w:rPr>
                            <w:t xml:space="preserve">an activity as opposed to alcohol beverages which are simply a cost </w:t>
                          </w:r>
                          <w:r>
                            <w:rPr>
                              <w:b/>
                              <w:bCs/>
                              <w:spacing w:val="-4"/>
                            </w:rPr>
                            <w:t>APROVED: February 22,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2C203" id="_x0000_t202" coordsize="21600,21600" o:spt="202" path="m,l,21600r21600,l21600,xe">
              <v:stroke joinstyle="miter"/>
              <v:path gradientshapeok="t" o:connecttype="rect"/>
            </v:shapetype>
            <v:shape id="Text Box 5" o:spid="_x0000_s1026" type="#_x0000_t202" style="position:absolute;margin-left:81.5pt;margin-top:0;width:437.5pt;height:1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" o:allowincell="f" stroked="f">
              <v:fill opacity="0"/>
              <v:textbox inset="0,0,0,0">
                <w:txbxContent>
                  <w:p w14:paraId="24827C86" w14:textId="77777777" w:rsidR="00F353EF" w:rsidRDefault="00F353EF">
                    <w:pPr>
                      <w:keepNext/>
                      <w:keepLines/>
                      <w:kinsoku w:val="0"/>
                      <w:overflowPunct w:val="0"/>
                      <w:ind w:left="72"/>
                      <w:textAlignment w:val="baseline"/>
                      <w:rPr>
                        <w:b/>
                        <w:bCs/>
                        <w:spacing w:val="-4"/>
                      </w:rPr>
                    </w:pPr>
                    <w:r w:rsidRPr="00F51C95">
                      <w:rPr>
                        <w:b/>
                        <w:bCs/>
                        <w:spacing w:val="-4"/>
                      </w:rPr>
                      <w:t xml:space="preserve">an activity as opposed to alcohol beverages which are simply a cost an activity as opposed to alcohol beverages which are simply a cost </w:t>
                    </w:r>
                    <w:r w:rsidRPr="00805C8A">
                      <w:rPr>
                        <w:b/>
                        <w:bCs/>
                        <w:spacing w:val="-4"/>
                      </w:rPr>
                      <w:t xml:space="preserve">an activity as opposed to alcohol beverages which are simply a cost </w:t>
                    </w:r>
                    <w:r>
                      <w:rPr>
                        <w:b/>
                        <w:bCs/>
                        <w:spacing w:val="-4"/>
                      </w:rPr>
                      <w:t>APROVED: February 22, 2008</w:t>
                    </w:r>
                  </w:p>
                </w:txbxContent>
              </v:textbox>
              <w10:wrap type="square" anchorx="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6D72E"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634AAEAB" wp14:editId="431BBE46">
          <wp:extent cx="606056" cy="289560"/>
          <wp:effectExtent l="0" t="0" r="3810" b="0"/>
          <wp:docPr id="16" name="Picture 16" descr="Stylized ILRU lette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tab/>
    </w:r>
    <w:r>
      <w:fldChar w:fldCharType="begin"/>
    </w:r>
    <w:r>
      <w:instrText xml:space="preserve"> PAGE   \* MERGEFORMAT </w:instrText>
    </w:r>
    <w:r>
      <w:fldChar w:fldCharType="separate"/>
    </w:r>
    <w:r w:rsidR="006222A3">
      <w:rPr>
        <w:noProof/>
      </w:rPr>
      <w:t>31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4CC83" w14:textId="77777777" w:rsidR="00F353EF" w:rsidRDefault="00F353EF">
    <w:pPr>
      <w:pStyle w:val="Footer"/>
    </w:pPr>
    <w:r>
      <w:rPr>
        <w:rFonts w:ascii="Times New Roman" w:hAnsi="Times New Roman"/>
        <w:b w:val="0"/>
        <w:noProof/>
        <w:szCs w:val="20"/>
      </w:rPr>
      <w:drawing>
        <wp:inline distT="0" distB="0" distL="0" distR="0" wp14:anchorId="7CFAB1A1" wp14:editId="387D7615">
          <wp:extent cx="606056" cy="289560"/>
          <wp:effectExtent l="0" t="0" r="3810" b="0"/>
          <wp:docPr id="4" name="Picture 4" descr="Stylized ILRU letters in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rsidRPr="00722857">
      <w:tab/>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4663"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78B49AC2" wp14:editId="1CFFE076">
          <wp:extent cx="606056" cy="289560"/>
          <wp:effectExtent l="0" t="0" r="3810" b="0"/>
          <wp:docPr id="8" name="Picture 8" descr="Stylized ILRU letters in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rsidRPr="00722857">
      <w:tab/>
    </w:r>
    <w:r>
      <w:fldChar w:fldCharType="begin"/>
    </w:r>
    <w:r>
      <w:instrText xml:space="preserve"> PAGE   \* MERGEFORMAT </w:instrText>
    </w:r>
    <w:r>
      <w:fldChar w:fldCharType="separate"/>
    </w:r>
    <w:r w:rsidR="006222A3">
      <w:rPr>
        <w:noProof/>
      </w:rPr>
      <w:t>vi</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EE48E" w14:textId="77777777" w:rsidR="00F353EF" w:rsidRDefault="00F353EF">
    <w:pPr>
      <w:kinsoku w:val="0"/>
      <w:overflowPunct w:val="0"/>
      <w:textAlignment w:val="baseline"/>
      <w:rPr>
        <w:sz w:val="16"/>
        <w:szCs w:val="16"/>
      </w:rPr>
    </w:pPr>
    <w:r>
      <w:rPr>
        <w:noProof/>
        <w:lang w:bidi="ar-SA"/>
      </w:rPr>
      <mc:AlternateContent>
        <mc:Choice Requires="wps">
          <w:drawing>
            <wp:anchor distT="0" distB="0" distL="0" distR="0" simplePos="0" relativeHeight="251667456" behindDoc="0" locked="0" layoutInCell="0" allowOverlap="1" wp14:anchorId="37F6ABD7" wp14:editId="0D2B2B54">
              <wp:simplePos x="0" y="0"/>
              <wp:positionH relativeFrom="page">
                <wp:posOffset>434340</wp:posOffset>
              </wp:positionH>
              <wp:positionV relativeFrom="paragraph">
                <wp:posOffset>0</wp:posOffset>
              </wp:positionV>
              <wp:extent cx="6963410" cy="44831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4483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F8AA2" w14:textId="77777777" w:rsidR="00F353EF" w:rsidRDefault="00F353EF">
                          <w:pPr>
                            <w:keepNext/>
                            <w:keepLines/>
                            <w:kinsoku w:val="0"/>
                            <w:overflowPunct w:val="0"/>
                            <w:textAlignment w:val="baseline"/>
                            <w:rPr>
                              <w:sz w:val="31"/>
                              <w:szCs w:val="31"/>
                            </w:rPr>
                          </w:pPr>
                          <w:r>
                            <w:rPr>
                              <w:sz w:val="31"/>
                              <w:szCs w:val="31"/>
                            </w:rPr>
                            <w:t>Accurate records will be maintained, indicating the amount of goods and/or services</w:t>
                          </w:r>
                        </w:p>
                        <w:p w14:paraId="2FF64431" w14:textId="77777777" w:rsidR="00F353EF" w:rsidRDefault="00F353EF">
                          <w:pPr>
                            <w:keepNext/>
                            <w:keepLines/>
                            <w:kinsoku w:val="0"/>
                            <w:overflowPunct w:val="0"/>
                            <w:textAlignment w:val="baseline"/>
                            <w:rPr>
                              <w:sz w:val="31"/>
                              <w:szCs w:val="31"/>
                            </w:rPr>
                          </w:pPr>
                          <w:r>
                            <w:rPr>
                              <w:sz w:val="31"/>
                              <w:szCs w:val="31"/>
                            </w:rPr>
                            <w:t>donated, and their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6ABD7" id="_x0000_t202" coordsize="21600,21600" o:spt="202" path="m,l,21600r21600,l21600,xe">
              <v:stroke joinstyle="miter"/>
              <v:path gradientshapeok="t" o:connecttype="rect"/>
            </v:shapetype>
            <v:shape id="Text Box 3" o:spid="_x0000_s1027" type="#_x0000_t202" style="position:absolute;margin-left:34.2pt;margin-top:0;width:548.3pt;height:35.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" o:allowincell="f" stroked="f">
              <v:fill opacity="0"/>
              <v:textbox inset="0,0,0,0">
                <w:txbxContent>
                  <w:p w14:paraId="587F8AA2" w14:textId="77777777" w:rsidR="00F353EF" w:rsidRDefault="00F353EF">
                    <w:pPr>
                      <w:keepNext/>
                      <w:keepLines/>
                      <w:kinsoku w:val="0"/>
                      <w:overflowPunct w:val="0"/>
                      <w:textAlignment w:val="baseline"/>
                      <w:rPr>
                        <w:sz w:val="31"/>
                        <w:szCs w:val="31"/>
                      </w:rPr>
                    </w:pPr>
                    <w:r>
                      <w:rPr>
                        <w:sz w:val="31"/>
                        <w:szCs w:val="31"/>
                      </w:rPr>
                      <w:t>Accurate records will be maintained, indicating the amount of goods and/or services</w:t>
                    </w:r>
                  </w:p>
                  <w:p w14:paraId="2FF64431" w14:textId="77777777" w:rsidR="00F353EF" w:rsidRDefault="00F353EF">
                    <w:pPr>
                      <w:keepNext/>
                      <w:keepLines/>
                      <w:kinsoku w:val="0"/>
                      <w:overflowPunct w:val="0"/>
                      <w:textAlignment w:val="baseline"/>
                      <w:rPr>
                        <w:sz w:val="31"/>
                        <w:szCs w:val="31"/>
                      </w:rPr>
                    </w:pPr>
                    <w:r>
                      <w:rPr>
                        <w:sz w:val="31"/>
                        <w:szCs w:val="31"/>
                      </w:rPr>
                      <w:t>donated, and their value.</w:t>
                    </w:r>
                  </w:p>
                </w:txbxContent>
              </v:textbox>
              <w10:wrap type="square" anchorx="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C818B"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4C29EF49" wp14:editId="743D304E">
          <wp:extent cx="606056" cy="289560"/>
          <wp:effectExtent l="0" t="0" r="3810" b="0"/>
          <wp:docPr id="9" name="Picture 9" descr="Stylized ILRU letters in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w:t>
    </w:r>
    <w:r>
      <w:t>k</w:t>
    </w:r>
    <w:r>
      <w:tab/>
    </w:r>
    <w:r>
      <w:fldChar w:fldCharType="begin"/>
    </w:r>
    <w:r>
      <w:instrText xml:space="preserve"> PAGE   \* MERGEFORMAT </w:instrText>
    </w:r>
    <w:r>
      <w:fldChar w:fldCharType="separate"/>
    </w:r>
    <w:r w:rsidR="006222A3">
      <w:rPr>
        <w:noProof/>
      </w:rPr>
      <w:t>12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49599"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0E5CC11F" wp14:editId="07032759">
          <wp:extent cx="606056" cy="289560"/>
          <wp:effectExtent l="0" t="0" r="3810" b="0"/>
          <wp:docPr id="10" name="Picture 10" descr="Stylized ILRU letters in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tab/>
    </w:r>
    <w:r>
      <w:fldChar w:fldCharType="begin"/>
    </w:r>
    <w:r>
      <w:instrText xml:space="preserve"> PAGE   \* MERGEFORMAT </w:instrText>
    </w:r>
    <w:r>
      <w:fldChar w:fldCharType="separate"/>
    </w:r>
    <w:r w:rsidR="006222A3">
      <w:rPr>
        <w:noProof/>
      </w:rPr>
      <w:t>22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49FF"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46D342EE" wp14:editId="31BB8E30">
          <wp:extent cx="606056" cy="289560"/>
          <wp:effectExtent l="0" t="0" r="3810" b="0"/>
          <wp:docPr id="11" name="Picture 11" descr="Stylized ILRU lette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tab/>
    </w:r>
    <w:r>
      <w:fldChar w:fldCharType="begin"/>
    </w:r>
    <w:r>
      <w:instrText xml:space="preserve"> PAGE   \* MERGEFORMAT </w:instrText>
    </w:r>
    <w:r>
      <w:fldChar w:fldCharType="separate"/>
    </w:r>
    <w:r w:rsidR="006222A3">
      <w:rPr>
        <w:noProof/>
      </w:rPr>
      <w:t>25</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0062C"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034A863B" wp14:editId="5D0C4126">
          <wp:extent cx="606056" cy="289560"/>
          <wp:effectExtent l="0" t="0" r="3810" b="0"/>
          <wp:docPr id="12" name="Picture 12" descr="Stylized ILRU lette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tab/>
    </w:r>
    <w:r>
      <w:fldChar w:fldCharType="begin"/>
    </w:r>
    <w:r>
      <w:instrText xml:space="preserve"> PAGE   \* MERGEFORMAT </w:instrText>
    </w:r>
    <w:r>
      <w:fldChar w:fldCharType="separate"/>
    </w:r>
    <w:r w:rsidR="006222A3">
      <w:rPr>
        <w:noProof/>
      </w:rPr>
      <w:t>26</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02E2" w14:textId="77777777" w:rsidR="00F353EF" w:rsidRPr="00BD1AA5" w:rsidRDefault="00F353EF" w:rsidP="00BD1AA5">
    <w:pPr>
      <w:pStyle w:val="Footer"/>
      <w:tabs>
        <w:tab w:val="clear" w:pos="4680"/>
        <w:tab w:val="center" w:pos="8460"/>
      </w:tabs>
      <w:jc w:val="center"/>
    </w:pPr>
    <w:r>
      <w:rPr>
        <w:rFonts w:ascii="Times New Roman" w:hAnsi="Times New Roman"/>
        <w:b w:val="0"/>
        <w:noProof/>
        <w:szCs w:val="20"/>
      </w:rPr>
      <w:drawing>
        <wp:inline distT="0" distB="0" distL="0" distR="0" wp14:anchorId="76284EC0" wp14:editId="03620AF3">
          <wp:extent cx="606056" cy="289560"/>
          <wp:effectExtent l="0" t="0" r="3810" b="0"/>
          <wp:docPr id="19" name="Picture 19" descr="Stylized ILRU lette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 xml:space="preserve">IL-NET </w:t>
    </w:r>
    <w:r w:rsidRPr="00722857">
      <w:t>Fiscal Policies and Procedures Handbook</w:t>
    </w:r>
    <w:r>
      <w:tab/>
    </w:r>
    <w:r>
      <w:fldChar w:fldCharType="begin"/>
    </w:r>
    <w:r>
      <w:instrText xml:space="preserve"> PAGE   \* MERGEFORMAT </w:instrText>
    </w:r>
    <w:r>
      <w:fldChar w:fldCharType="separate"/>
    </w:r>
    <w:r w:rsidR="006222A3">
      <w:rPr>
        <w:noProof/>
      </w:rPr>
      <w:t>29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FF89C" w14:textId="77777777" w:rsidR="00472094" w:rsidRDefault="00472094">
      <w:r>
        <w:separator/>
      </w:r>
    </w:p>
    <w:p w14:paraId="50412A0D" w14:textId="77777777" w:rsidR="00472094" w:rsidRDefault="00472094"/>
  </w:footnote>
  <w:footnote w:type="continuationSeparator" w:id="0">
    <w:p w14:paraId="153EAFC6" w14:textId="77777777" w:rsidR="00472094" w:rsidRDefault="00472094">
      <w:r>
        <w:continuationSeparator/>
      </w:r>
    </w:p>
    <w:p w14:paraId="20EA02BE" w14:textId="77777777" w:rsidR="00472094" w:rsidRDefault="00472094"/>
  </w:footnote>
  <w:footnote w:id="1">
    <w:p w14:paraId="090FCC21" w14:textId="36B660EF" w:rsidR="00F353EF" w:rsidRDefault="00F353EF">
      <w:pPr>
        <w:pStyle w:val="FootnoteText"/>
      </w:pPr>
      <w:r w:rsidRPr="00191FCB">
        <w:rPr>
          <w:rStyle w:val="FootnoteReference"/>
        </w:rPr>
        <w:footnoteRef/>
      </w:r>
      <w:r w:rsidRPr="00191FCB">
        <w:t xml:space="preserve"> These remain in effect until such time as the proposed HHS regulations become final.</w:t>
      </w:r>
    </w:p>
  </w:footnote>
  <w:footnote w:id="2">
    <w:p w14:paraId="1A5F4957" w14:textId="77777777" w:rsidR="00F353EF" w:rsidRDefault="00F353EF">
      <w:pPr>
        <w:pStyle w:val="FootnoteText"/>
      </w:pPr>
      <w:r>
        <w:rPr>
          <w:rStyle w:val="FootnoteReference"/>
        </w:rPr>
        <w:footnoteRef/>
      </w:r>
      <w:r>
        <w:t xml:space="preserve"> If the CIL administers more than one 501(c)(3) entity, the policy manual should specify the legal names of the organizations that it covers.</w:t>
      </w:r>
    </w:p>
  </w:footnote>
  <w:footnote w:id="3">
    <w:p w14:paraId="548D5423" w14:textId="2B6A75AF" w:rsidR="00F353EF" w:rsidRPr="009C472B" w:rsidRDefault="00F353EF" w:rsidP="00A85960">
      <w:pPr>
        <w:pStyle w:val="FootnoteText"/>
      </w:pPr>
      <w:r w:rsidRPr="0055725F">
        <w:rPr>
          <w:vertAlign w:val="superscript"/>
        </w:rPr>
        <w:footnoteRef/>
      </w:r>
      <w:r w:rsidRPr="0055725F">
        <w:rPr>
          <w:vertAlign w:val="superscript"/>
        </w:rPr>
        <w:t xml:space="preserve"> </w:t>
      </w:r>
      <w:r w:rsidRPr="00A85960">
        <w:t>Many centers for independent living receive much of their funding from the federal government. As nonprofit organizations, this places them under the requirements of</w:t>
      </w:r>
      <w:r>
        <w:t xml:space="preserve"> Uniform Guidance</w:t>
      </w:r>
      <w:r w:rsidRPr="00A85960">
        <w:t xml:space="preserve">. The principles are designed </w:t>
      </w:r>
      <w:r>
        <w:t>so</w:t>
      </w:r>
      <w:r w:rsidRPr="00A85960">
        <w:t xml:space="preserve"> that the federal government bear</w:t>
      </w:r>
      <w:r>
        <w:t>s</w:t>
      </w:r>
      <w:r w:rsidRPr="00A85960">
        <w:t xml:space="preserve"> only its share of costs except where restricted or prohibited by </w:t>
      </w:r>
      <w:r w:rsidRPr="00B16C0A">
        <w:t>law. See Appendix II.</w:t>
      </w:r>
    </w:p>
  </w:footnote>
  <w:footnote w:id="4">
    <w:p w14:paraId="0DC9B9C4" w14:textId="0BB94D70" w:rsidR="00F353EF" w:rsidRDefault="00F353EF">
      <w:pPr>
        <w:pStyle w:val="FootnoteText"/>
      </w:pPr>
      <w:r>
        <w:rPr>
          <w:rStyle w:val="FootnoteReference"/>
        </w:rPr>
        <w:footnoteRef/>
      </w:r>
      <w:r>
        <w:t xml:space="preserve"> CILs that receive Part B funds may want to insert “…Designated State Entity (DSE) pre-approval of budget modifications are obtained, in accordance with requirements of the contract between the CIL and the DSE.”</w:t>
      </w:r>
    </w:p>
  </w:footnote>
  <w:footnote w:id="5">
    <w:p w14:paraId="66B66EE0" w14:textId="08A717B4" w:rsidR="00F353EF" w:rsidRPr="00A85960" w:rsidRDefault="00F353EF" w:rsidP="009C472B">
      <w:pPr>
        <w:pStyle w:val="FootnoteText"/>
      </w:pPr>
      <w:r w:rsidRPr="003E2EA9">
        <w:rPr>
          <w:vertAlign w:val="superscript"/>
        </w:rPr>
        <w:footnoteRef/>
      </w:r>
      <w:r w:rsidRPr="009C472B">
        <w:t xml:space="preserve"> </w:t>
      </w:r>
      <w:r w:rsidRPr="00A85960">
        <w:t>This is a good example of a policy that will be implemented differently in different organizations; for some, thi</w:t>
      </w:r>
      <w:r>
        <w:t>s amount will be far too high</w:t>
      </w:r>
      <w:r w:rsidRPr="00A85960">
        <w:t>.</w:t>
      </w:r>
      <w:r>
        <w:t xml:space="preserve"> Uniform Guidance does require specific procurement policies and practices for purchases or contracts of $25,000 or more, but many boards want to see those practices at much lower levels—some at $5,000, some at $500.</w:t>
      </w:r>
    </w:p>
  </w:footnote>
  <w:footnote w:id="6">
    <w:p w14:paraId="45A736D4" w14:textId="528FC185" w:rsidR="00F353EF" w:rsidRDefault="00F353EF">
      <w:pPr>
        <w:pStyle w:val="FootnoteText"/>
      </w:pPr>
      <w:r>
        <w:rPr>
          <w:rStyle w:val="FootnoteReference"/>
        </w:rPr>
        <w:footnoteRef/>
      </w:r>
      <w:r>
        <w:t xml:space="preserve"> This is required when $750,000 or more of federal funds are expended in a fiscal year. If expenditures are less than $750,000, an audit cannot be paid for with federal funds.</w:t>
      </w:r>
    </w:p>
  </w:footnote>
  <w:footnote w:id="7">
    <w:p w14:paraId="7FC874C4" w14:textId="4B6347D1" w:rsidR="00F353EF" w:rsidRDefault="00F353EF">
      <w:pPr>
        <w:pStyle w:val="FootnoteText"/>
      </w:pPr>
      <w:r>
        <w:rPr>
          <w:rStyle w:val="FootnoteReference"/>
        </w:rPr>
        <w:footnoteRef/>
      </w:r>
      <w:r>
        <w:t xml:space="preserve"> As outlined in Uniform Guidance, sec, 200.410, and sections 200.410 thru 200.475. </w:t>
      </w:r>
      <w:r w:rsidRPr="00C841C3">
        <w:t>See Appendix II.</w:t>
      </w:r>
    </w:p>
  </w:footnote>
  <w:footnote w:id="8">
    <w:p w14:paraId="48348AE6" w14:textId="77777777" w:rsidR="00F353EF" w:rsidRDefault="00F353EF">
      <w:pPr>
        <w:pStyle w:val="FootnoteText"/>
      </w:pPr>
      <w:r>
        <w:rPr>
          <w:rStyle w:val="FootnoteReference"/>
        </w:rPr>
        <w:footnoteRef/>
      </w:r>
      <w:r>
        <w:t xml:space="preserve"> Many organizations present reports to the board each month. Some present reports at quarterly meetings and provide written reports each month in the interim.</w:t>
      </w:r>
    </w:p>
  </w:footnote>
  <w:footnote w:id="9">
    <w:p w14:paraId="22C17199" w14:textId="77777777" w:rsidR="00F353EF" w:rsidRDefault="00F353EF" w:rsidP="0074004A">
      <w:pPr>
        <w:pStyle w:val="FootnoteText"/>
      </w:pPr>
      <w:r>
        <w:rPr>
          <w:rStyle w:val="FootnoteReference"/>
        </w:rPr>
        <w:footnoteRef/>
      </w:r>
      <w:r>
        <w:t xml:space="preserve"> Most nonprofits engage an o</w:t>
      </w:r>
      <w:r w:rsidRPr="00750A48">
        <w:t>utside CPA firm to</w:t>
      </w:r>
      <w:r>
        <w:t xml:space="preserve"> prepare these filings.</w:t>
      </w:r>
    </w:p>
  </w:footnote>
  <w:footnote w:id="10">
    <w:p w14:paraId="722FBE77" w14:textId="77777777" w:rsidR="00F353EF" w:rsidRDefault="00F353EF" w:rsidP="0074004A">
      <w:pPr>
        <w:pStyle w:val="FootnoteText"/>
      </w:pPr>
      <w:r>
        <w:rPr>
          <w:rStyle w:val="FootnoteReference"/>
        </w:rPr>
        <w:footnoteRef/>
      </w:r>
      <w:r>
        <w:t xml:space="preserve"> </w:t>
      </w:r>
      <w:r w:rsidRPr="00750A48">
        <w:t xml:space="preserve">As required by regulations or determined by the board, a separate outside CPA firm may be engaged to perform audits or reviews of the </w:t>
      </w:r>
      <w:r>
        <w:t>CIL</w:t>
      </w:r>
      <w:r w:rsidRPr="00750A48">
        <w:t>’s financial statements.</w:t>
      </w:r>
    </w:p>
  </w:footnote>
  <w:footnote w:id="11">
    <w:p w14:paraId="2F32DFC8" w14:textId="77777777" w:rsidR="00F353EF" w:rsidRDefault="00F353EF" w:rsidP="0074004A">
      <w:pPr>
        <w:pStyle w:val="FootnoteText"/>
      </w:pPr>
      <w:r>
        <w:rPr>
          <w:rStyle w:val="FootnoteReference"/>
        </w:rPr>
        <w:footnoteRef/>
      </w:r>
      <w:r>
        <w:t xml:space="preserve"> If the CIL routinely receives significant amounts of cash, a procedure should be established in which more than one person counts and verifies the receipt.</w:t>
      </w:r>
    </w:p>
  </w:footnote>
  <w:footnote w:id="12">
    <w:p w14:paraId="4DBFD62B" w14:textId="77777777" w:rsidR="00F353EF" w:rsidRDefault="00F353EF" w:rsidP="0074004A">
      <w:pPr>
        <w:pStyle w:val="FootnoteText"/>
      </w:pPr>
      <w:r>
        <w:rPr>
          <w:rStyle w:val="FootnoteReference"/>
        </w:rPr>
        <w:footnoteRef/>
      </w:r>
      <w:r>
        <w:t xml:space="preserve"> Consider the use of check scanning equipment to make electronic deposits.</w:t>
      </w:r>
    </w:p>
  </w:footnote>
  <w:footnote w:id="13">
    <w:p w14:paraId="4831A343" w14:textId="57215C04" w:rsidR="00F353EF" w:rsidRDefault="00F353EF">
      <w:pPr>
        <w:pStyle w:val="FootnoteText"/>
      </w:pPr>
      <w:r>
        <w:rPr>
          <w:rStyle w:val="FootnoteReference"/>
        </w:rPr>
        <w:footnoteRef/>
      </w:r>
      <w:r>
        <w:t xml:space="preserve"> </w:t>
      </w:r>
      <w:r w:rsidRPr="0077191C">
        <w:t xml:space="preserve">When expending funds from the </w:t>
      </w:r>
      <w:r>
        <w:t>Administration for Community Living</w:t>
      </w:r>
      <w:r w:rsidRPr="0077191C">
        <w:t xml:space="preserve">, the </w:t>
      </w:r>
      <w:r>
        <w:t>CIL</w:t>
      </w:r>
      <w:r w:rsidRPr="0077191C">
        <w:t xml:space="preserve"> will comply with </w:t>
      </w:r>
      <w:r>
        <w:t>Uniform Guidance Sec 200.305</w:t>
      </w:r>
      <w:r w:rsidRPr="0077191C">
        <w:t xml:space="preserve"> </w:t>
      </w:r>
      <w:r>
        <w:t>cash management requirements of Uniform Guidance.</w:t>
      </w:r>
    </w:p>
  </w:footnote>
  <w:footnote w:id="14">
    <w:p w14:paraId="1FA839BD" w14:textId="2931A247" w:rsidR="00F353EF" w:rsidRDefault="00F353EF" w:rsidP="0074004A">
      <w:pPr>
        <w:pStyle w:val="FootnoteText"/>
      </w:pPr>
      <w:r>
        <w:rPr>
          <w:rStyle w:val="FootnoteReference"/>
        </w:rPr>
        <w:footnoteRef/>
      </w:r>
      <w:r>
        <w:t xml:space="preserve"> </w:t>
      </w:r>
      <w:r w:rsidRPr="00AF25CE">
        <w:t xml:space="preserve">This addresses requirements of </w:t>
      </w:r>
      <w:r>
        <w:t>Uniform Guidance section 200.305(b)</w:t>
      </w:r>
      <w:r w:rsidRPr="00AF25CE">
        <w:t>.</w:t>
      </w:r>
    </w:p>
  </w:footnote>
  <w:footnote w:id="15">
    <w:p w14:paraId="13BBD30B" w14:textId="77777777" w:rsidR="00F353EF" w:rsidRDefault="00F353EF">
      <w:pPr>
        <w:pStyle w:val="FootnoteText"/>
      </w:pPr>
      <w:r>
        <w:rPr>
          <w:rStyle w:val="FootnoteReference"/>
        </w:rPr>
        <w:footnoteRef/>
      </w:r>
      <w:r>
        <w:t xml:space="preserve"> This example fits a smaller organization; in larger centers, another staff member may be designated to perform this function.</w:t>
      </w:r>
    </w:p>
  </w:footnote>
  <w:footnote w:id="16">
    <w:p w14:paraId="253E457A" w14:textId="47D61E57" w:rsidR="00F353EF" w:rsidRDefault="00F353EF">
      <w:pPr>
        <w:pStyle w:val="FootnoteText"/>
      </w:pPr>
      <w:r>
        <w:rPr>
          <w:rStyle w:val="FootnoteReference"/>
        </w:rPr>
        <w:footnoteRef/>
      </w:r>
      <w:r>
        <w:t xml:space="preserve"> In most cases, the U.S. Department of Health and Human Services Indirect Cost Group.</w:t>
      </w:r>
    </w:p>
  </w:footnote>
  <w:footnote w:id="17">
    <w:p w14:paraId="60FC2BF7" w14:textId="16F3565A" w:rsidR="00F353EF" w:rsidRDefault="00F353EF">
      <w:pPr>
        <w:pStyle w:val="FootnoteText"/>
      </w:pPr>
      <w:r>
        <w:rPr>
          <w:rStyle w:val="FootnoteReference"/>
        </w:rPr>
        <w:footnoteRef/>
      </w:r>
      <w:r>
        <w:t xml:space="preserve"> All Part C funded CILs, regardless of their size, are required to obtain an approved Indirect Cost Rate unless they can allocate everything directly to each of their cost objectives (and can prove it</w:t>
      </w:r>
      <w:r w:rsidR="00CB5B50">
        <w:t>, which is highly unlikely</w:t>
      </w:r>
      <w:r>
        <w:t>) or qualify for and request the 10% de minimis rate</w:t>
      </w:r>
      <w:r w:rsidRPr="000E5A2B">
        <w:t>. See Appendix III.</w:t>
      </w:r>
    </w:p>
  </w:footnote>
  <w:footnote w:id="18">
    <w:p w14:paraId="452F89FB" w14:textId="77777777" w:rsidR="00F353EF" w:rsidRDefault="00F353EF">
      <w:pPr>
        <w:pStyle w:val="FootnoteText"/>
      </w:pPr>
      <w:r>
        <w:rPr>
          <w:rStyle w:val="FootnoteReference"/>
        </w:rPr>
        <w:footnoteRef/>
      </w:r>
      <w:r>
        <w:t xml:space="preserve"> To improve controls over disbursements, many CILs require two signatures on all checks over a certain dollar amount (such as $2500 or $5000). In such cases, it is good practice to specify that amount in the financial policy manual. If there is not a sufficient number of financial administrative staff, a board member may be required to provide the second signature. Exceptions may be made for certain large recurring checks such as rent and utilities.</w:t>
      </w:r>
    </w:p>
  </w:footnote>
  <w:footnote w:id="19">
    <w:p w14:paraId="3ED87A23" w14:textId="3F2A24B2" w:rsidR="00F353EF" w:rsidRPr="003E5F8C" w:rsidRDefault="00F353EF" w:rsidP="008F7AFE">
      <w:pPr>
        <w:pStyle w:val="FootnoteText"/>
        <w:rPr>
          <w:highlight w:val="yellow"/>
        </w:rPr>
      </w:pPr>
      <w:r w:rsidRPr="00F22B94">
        <w:rPr>
          <w:rStyle w:val="FootnoteReference"/>
        </w:rPr>
        <w:footnoteRef/>
      </w:r>
      <w:r w:rsidRPr="00F22B94">
        <w:t xml:space="preserve"> Some centers don't choose to use payroll processing, but others require this outside assurance of proper payroll procedures. One of the most common misuses of funds is the failure to pay workers’ compensation insurance, SS withholding, and other items based on payroll. These payments can be set up to happen automatically with a reputable payroll processing bureau or service.</w:t>
      </w:r>
    </w:p>
  </w:footnote>
  <w:footnote w:id="20">
    <w:p w14:paraId="412CC690" w14:textId="3CFCB6CB" w:rsidR="00F353EF" w:rsidRDefault="00F353EF">
      <w:pPr>
        <w:pStyle w:val="FootnoteText"/>
      </w:pPr>
      <w:r w:rsidRPr="00F22B94">
        <w:rPr>
          <w:rStyle w:val="FootnoteReference"/>
        </w:rPr>
        <w:footnoteRef/>
      </w:r>
      <w:r w:rsidRPr="00F22B94">
        <w:t xml:space="preserve"> </w:t>
      </w:r>
      <w:r>
        <w:t xml:space="preserve">PARs are not defined in Uniform Guidance. However, the old rule under OMB Circular A-122 is that PARs must be signed by the employee </w:t>
      </w:r>
      <w:r w:rsidRPr="002932B4">
        <w:rPr>
          <w:b/>
        </w:rPr>
        <w:t>OR</w:t>
      </w:r>
      <w:r>
        <w:t xml:space="preserve"> a responsible supervisory official having firsthand knowledge of the activities performed. Uniform Guidance allows other methods of verifying what work was performed. Having signatures by both the employee and a supervisor is only a recommendation by many organizations and consultants to better protect the CIL and the employee. This may also help comply with wage and hour requirements. However, two signatures are not workable in all organizations. What is important is that whatever method is used, it must be documented in your policies, </w:t>
      </w:r>
      <w:r w:rsidRPr="00397D3E">
        <w:rPr>
          <w:b/>
        </w:rPr>
        <w:t>followed consistently</w:t>
      </w:r>
      <w:r>
        <w:t>, and include an after-the-fact documentation of work performed.</w:t>
      </w:r>
    </w:p>
  </w:footnote>
  <w:footnote w:id="21">
    <w:p w14:paraId="553C5C9E" w14:textId="77777777" w:rsidR="00F353EF" w:rsidRDefault="00F353EF">
      <w:pPr>
        <w:pStyle w:val="FootnoteText"/>
      </w:pPr>
      <w:r>
        <w:rPr>
          <w:rStyle w:val="FootnoteReference"/>
        </w:rPr>
        <w:footnoteRef/>
      </w:r>
      <w:r>
        <w:t xml:space="preserve"> For centers that do not maintain their own vehicles, local staff travel for center business (such as travel to the home of a consumer for IL skills training) may be covered and the policy should address this kind of travel.</w:t>
      </w:r>
    </w:p>
  </w:footnote>
  <w:footnote w:id="22">
    <w:p w14:paraId="0DF334D2" w14:textId="057689F5" w:rsidR="00F353EF" w:rsidRDefault="00F353EF" w:rsidP="00D8032C">
      <w:pPr>
        <w:pStyle w:val="FootnoteText"/>
      </w:pPr>
      <w:r>
        <w:rPr>
          <w:rStyle w:val="FootnoteReference"/>
        </w:rPr>
        <w:footnoteRef/>
      </w:r>
      <w:r>
        <w:t xml:space="preserve"> </w:t>
      </w:r>
      <w:r w:rsidRPr="0067448E">
        <w:t>Often, funding agencies require matching funds or in-kind contributions from the grantee. Some funding agencies allow grantees to include non-cash donations as part of their matching funds or in-kind contribution. Goods that may be counted include land, buildings</w:t>
      </w:r>
      <w:r>
        <w:t>,</w:t>
      </w:r>
      <w:r w:rsidRPr="0067448E">
        <w:t xml:space="preserve"> and equipment (such as computers</w:t>
      </w:r>
      <w:r>
        <w:t xml:space="preserve"> or </w:t>
      </w:r>
      <w:r w:rsidRPr="0067448E">
        <w:t>office equipment for direct use</w:t>
      </w:r>
      <w:r>
        <w:t>,</w:t>
      </w:r>
      <w:r w:rsidRPr="0067448E">
        <w:t xml:space="preserve"> or wheelchairs or other equipment </w:t>
      </w:r>
      <w:r>
        <w:t>that will be provided</w:t>
      </w:r>
      <w:r w:rsidRPr="0067448E">
        <w:t xml:space="preserve"> to consumers), and rent-free space.</w:t>
      </w:r>
    </w:p>
  </w:footnote>
  <w:footnote w:id="23">
    <w:p w14:paraId="594DFD13" w14:textId="3DD8C8C9" w:rsidR="00F353EF" w:rsidRDefault="00F353EF">
      <w:pPr>
        <w:pStyle w:val="FootnoteText"/>
      </w:pPr>
      <w:r>
        <w:rPr>
          <w:rStyle w:val="FootnoteReference"/>
        </w:rPr>
        <w:footnoteRef/>
      </w:r>
      <w:r>
        <w:t xml:space="preserve"> Independent Sector annually provides an estimate of the value of an hour of donated services on their website </w:t>
      </w:r>
      <w:hyperlink r:id="rId1" w:history="1">
        <w:r w:rsidRPr="00646CB2">
          <w:rPr>
            <w:rStyle w:val="Hyperlink"/>
          </w:rPr>
          <w:t>https://www.independentsector.org/volunteer_time</w:t>
        </w:r>
      </w:hyperlink>
      <w:r>
        <w:t xml:space="preserve"> </w:t>
      </w:r>
    </w:p>
  </w:footnote>
  <w:footnote w:id="24">
    <w:p w14:paraId="3DAEA742" w14:textId="77777777" w:rsidR="00F353EF" w:rsidRDefault="00F353EF">
      <w:pPr>
        <w:pStyle w:val="FootnoteText"/>
      </w:pPr>
      <w:r>
        <w:rPr>
          <w:rStyle w:val="FootnoteReference"/>
        </w:rPr>
        <w:footnoteRef/>
      </w:r>
      <w:r>
        <w:t xml:space="preserve"> Usually important if paying bills on time is a concern.</w:t>
      </w:r>
    </w:p>
  </w:footnote>
  <w:footnote w:id="25">
    <w:p w14:paraId="70536C69" w14:textId="77777777" w:rsidR="00F353EF" w:rsidRDefault="00F353EF">
      <w:pPr>
        <w:pStyle w:val="FootnoteText"/>
      </w:pPr>
      <w:r>
        <w:rPr>
          <w:rStyle w:val="FootnoteReference"/>
        </w:rPr>
        <w:footnoteRef/>
      </w:r>
      <w:r>
        <w:t xml:space="preserve"> Usually important if billing on time or receiving funds on time is a concern.</w:t>
      </w:r>
    </w:p>
  </w:footnote>
  <w:footnote w:id="26">
    <w:p w14:paraId="30C9CEC5" w14:textId="362AF079" w:rsidR="00F353EF" w:rsidRDefault="00F353EF">
      <w:pPr>
        <w:pStyle w:val="FootnoteText"/>
      </w:pPr>
      <w:r>
        <w:rPr>
          <w:rStyle w:val="FootnoteReference"/>
        </w:rPr>
        <w:footnoteRef/>
      </w:r>
      <w:r>
        <w:t xml:space="preserve"> Typically, this is daily or weekly.</w:t>
      </w:r>
    </w:p>
  </w:footnote>
  <w:footnote w:id="27">
    <w:p w14:paraId="4B72E564" w14:textId="1E1BF84F" w:rsidR="00F353EF" w:rsidRDefault="00F353EF">
      <w:pPr>
        <w:pStyle w:val="FootnoteText"/>
      </w:pPr>
      <w:r>
        <w:rPr>
          <w:rStyle w:val="FootnoteReference"/>
        </w:rPr>
        <w:footnoteRef/>
      </w:r>
      <w:r>
        <w:t xml:space="preserve"> </w:t>
      </w:r>
      <w:r w:rsidRPr="004B2A1D">
        <w:t>At present, many consider passwords that are updated monthly</w:t>
      </w:r>
      <w:r>
        <w:t xml:space="preserve"> or quarterly</w:t>
      </w:r>
      <w:r w:rsidRPr="004B2A1D">
        <w:t xml:space="preserve"> and </w:t>
      </w:r>
      <w:r>
        <w:t>that</w:t>
      </w:r>
      <w:r w:rsidRPr="004B2A1D">
        <w:t xml:space="preserve"> consist of at least eight characters, including one or more numbers, to be relatively secure; however, the security landscape is changing rapidly and the </w:t>
      </w:r>
      <w:r>
        <w:t>CIL</w:t>
      </w:r>
      <w:r w:rsidRPr="004B2A1D">
        <w:t xml:space="preserve"> should adhere to current best practices.</w:t>
      </w:r>
    </w:p>
  </w:footnote>
  <w:footnote w:id="28">
    <w:p w14:paraId="5B91E77A" w14:textId="5D800103" w:rsidR="00F353EF" w:rsidRDefault="00F353EF">
      <w:pPr>
        <w:pStyle w:val="FootnoteText"/>
      </w:pPr>
      <w:r>
        <w:rPr>
          <w:rStyle w:val="FootnoteReference"/>
        </w:rPr>
        <w:footnoteRef/>
      </w:r>
      <w:r>
        <w:t xml:space="preserve"> </w:t>
      </w:r>
      <w:r w:rsidRPr="00C24D1B">
        <w:t>All organizations should have some written purchasing guidelines. The Uniform Guidance requirement for a written purchasing policy has been deferred until December 31, 2016.</w:t>
      </w:r>
    </w:p>
  </w:footnote>
  <w:footnote w:id="29">
    <w:p w14:paraId="786CC193" w14:textId="463DBABC" w:rsidR="00F353EF" w:rsidRDefault="00F353EF">
      <w:pPr>
        <w:pStyle w:val="FootnoteText"/>
      </w:pPr>
      <w:r>
        <w:rPr>
          <w:rStyle w:val="FootnoteReference"/>
        </w:rPr>
        <w:footnoteRef/>
      </w:r>
      <w:r>
        <w:t xml:space="preserve"> Uniform Guidance section 200.113. </w:t>
      </w:r>
    </w:p>
  </w:footnote>
  <w:footnote w:id="30">
    <w:p w14:paraId="67758BD4" w14:textId="1DB6988E" w:rsidR="00F353EF" w:rsidRDefault="00F353EF">
      <w:pPr>
        <w:pStyle w:val="FootnoteText"/>
      </w:pPr>
      <w:r>
        <w:rPr>
          <w:rStyle w:val="FootnoteReference"/>
        </w:rPr>
        <w:footnoteRef/>
      </w:r>
      <w:r>
        <w:t xml:space="preserve"> </w:t>
      </w:r>
      <w:r w:rsidRPr="0067100C">
        <w:t>Uniform Guidance sections 200.420 through 200.475</w:t>
      </w:r>
      <w:r>
        <w:t>.</w:t>
      </w:r>
    </w:p>
  </w:footnote>
  <w:footnote w:id="31">
    <w:p w14:paraId="45BDF1AC" w14:textId="388080AC" w:rsidR="00F353EF" w:rsidRDefault="00F353EF">
      <w:pPr>
        <w:pStyle w:val="FootnoteText"/>
      </w:pPr>
      <w:r>
        <w:rPr>
          <w:rStyle w:val="FootnoteReference"/>
        </w:rPr>
        <w:footnoteRef/>
      </w:r>
      <w:r>
        <w:t xml:space="preserve"> </w:t>
      </w:r>
      <w:r w:rsidRPr="002F0E31">
        <w:t>Uniform Guidance section 200.67</w:t>
      </w:r>
    </w:p>
  </w:footnote>
  <w:footnote w:id="32">
    <w:p w14:paraId="00495929" w14:textId="11E13441" w:rsidR="00F353EF" w:rsidRPr="00E16D80" w:rsidRDefault="00F353EF">
      <w:pPr>
        <w:pStyle w:val="FootnoteText"/>
      </w:pPr>
      <w:r w:rsidRPr="00E16D80">
        <w:rPr>
          <w:rStyle w:val="FootnoteReference"/>
        </w:rPr>
        <w:footnoteRef/>
      </w:r>
      <w:r w:rsidRPr="00E16D80">
        <w:t xml:space="preserve"> Uniform Guidance CFR 200.307.</w:t>
      </w:r>
    </w:p>
  </w:footnote>
  <w:footnote w:id="33">
    <w:p w14:paraId="18B68620" w14:textId="0F9A7739" w:rsidR="00F353EF" w:rsidRDefault="00F353EF">
      <w:pPr>
        <w:pStyle w:val="FootnoteText"/>
      </w:pPr>
      <w:r w:rsidRPr="00E16D80">
        <w:rPr>
          <w:rStyle w:val="FootnoteReference"/>
        </w:rPr>
        <w:footnoteRef/>
      </w:r>
      <w:r w:rsidRPr="00E16D80">
        <w:t xml:space="preserve"> Equipment purchased with federal funds is subject to specific provisions in Uniform Guidance.</w:t>
      </w:r>
    </w:p>
  </w:footnote>
  <w:footnote w:id="34">
    <w:p w14:paraId="4594B000" w14:textId="6F67453D" w:rsidR="00F353EF" w:rsidRDefault="00F353EF">
      <w:pPr>
        <w:pStyle w:val="FootnoteText"/>
      </w:pPr>
      <w:r>
        <w:rPr>
          <w:rStyle w:val="FootnoteReference"/>
        </w:rPr>
        <w:footnoteRef/>
      </w:r>
      <w:r>
        <w:t xml:space="preserve"> O</w:t>
      </w:r>
      <w:r w:rsidRPr="001E3BB0">
        <w:t>r another appropriate amount based on your organization size. Uniform Guidance limits this to $5,000</w:t>
      </w:r>
      <w:r>
        <w:t xml:space="preserve">. </w:t>
      </w:r>
    </w:p>
  </w:footnote>
  <w:footnote w:id="35">
    <w:p w14:paraId="5B8E5E4A" w14:textId="532EB936" w:rsidR="00F353EF" w:rsidRDefault="00F353EF">
      <w:pPr>
        <w:pStyle w:val="FootnoteText"/>
      </w:pPr>
      <w:r>
        <w:rPr>
          <w:rStyle w:val="FootnoteReference"/>
        </w:rPr>
        <w:footnoteRef/>
      </w:r>
      <w:r>
        <w:t xml:space="preserve"> The General Education Provisions Act (GEPA) has a five years statute of limitations on audits. Accordingly, all educational records subject to GEPA should be retained for a minimum of five years after the date the final expenditure report is submitted for each fiscal year. For programs not subject to GEPA, records should be kept as long as any applicable statute of limitations applies. If none, a “safe” practice would be to maintain electronic copies of records and/or paper records to the extent practicable, but no less than 10 years. </w:t>
      </w:r>
      <w:r w:rsidRPr="003268F9">
        <w:rPr>
          <w:b/>
        </w:rPr>
        <w:t>Note</w:t>
      </w:r>
      <w:r>
        <w:t xml:space="preserve"> that although GEPA requirements no longer apply to centers for independent living, GEPA standards will be applied in audits of prior program years for which GEPA was in force.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866B61A"/>
    <w:lvl w:ilvl="0">
      <w:start w:val="1"/>
      <w:numFmt w:val="lowerLetter"/>
      <w:pStyle w:val="ListNumber3"/>
      <w:lvlText w:val="(%1)"/>
      <w:lvlJc w:val="left"/>
      <w:pPr>
        <w:ind w:left="360" w:hanging="360"/>
      </w:pPr>
      <w:rPr>
        <w:rFonts w:hint="default"/>
      </w:rPr>
    </w:lvl>
  </w:abstractNum>
  <w:abstractNum w:abstractNumId="1">
    <w:nsid w:val="FFFFFF88"/>
    <w:multiLevelType w:val="singleLevel"/>
    <w:tmpl w:val="3572D588"/>
    <w:lvl w:ilvl="0">
      <w:start w:val="1"/>
      <w:numFmt w:val="decimal"/>
      <w:lvlText w:val="%1)"/>
      <w:lvlJc w:val="left"/>
      <w:pPr>
        <w:ind w:left="792"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nsid w:val="04C5200B"/>
    <w:multiLevelType w:val="hybridMultilevel"/>
    <w:tmpl w:val="E29E51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95B94"/>
    <w:multiLevelType w:val="multilevel"/>
    <w:tmpl w:val="C7A8FF0C"/>
    <w:styleLink w:val="ILRU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96C347F"/>
    <w:multiLevelType w:val="hybridMultilevel"/>
    <w:tmpl w:val="64D255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C86434"/>
    <w:multiLevelType w:val="hybridMultilevel"/>
    <w:tmpl w:val="B22A9380"/>
    <w:lvl w:ilvl="0" w:tplc="191E0B52">
      <w:start w:val="1"/>
      <w:numFmt w:val="bullet"/>
      <w:lvlText w:val="•"/>
      <w:lvlJc w:val="left"/>
      <w:pPr>
        <w:tabs>
          <w:tab w:val="num" w:pos="720"/>
        </w:tabs>
        <w:ind w:left="720" w:hanging="360"/>
      </w:pPr>
      <w:rPr>
        <w:rFonts w:ascii="Arial" w:hAnsi="Arial" w:hint="default"/>
      </w:rPr>
    </w:lvl>
    <w:lvl w:ilvl="1" w:tplc="C73840A6">
      <w:start w:val="737"/>
      <w:numFmt w:val="bullet"/>
      <w:lvlText w:val="•"/>
      <w:lvlJc w:val="left"/>
      <w:pPr>
        <w:tabs>
          <w:tab w:val="num" w:pos="1440"/>
        </w:tabs>
        <w:ind w:left="1440" w:hanging="360"/>
      </w:pPr>
      <w:rPr>
        <w:rFonts w:ascii="Arial" w:hAnsi="Arial" w:hint="default"/>
      </w:rPr>
    </w:lvl>
    <w:lvl w:ilvl="2" w:tplc="B04608F0" w:tentative="1">
      <w:start w:val="1"/>
      <w:numFmt w:val="bullet"/>
      <w:lvlText w:val="•"/>
      <w:lvlJc w:val="left"/>
      <w:pPr>
        <w:tabs>
          <w:tab w:val="num" w:pos="2160"/>
        </w:tabs>
        <w:ind w:left="2160" w:hanging="360"/>
      </w:pPr>
      <w:rPr>
        <w:rFonts w:ascii="Arial" w:hAnsi="Arial" w:hint="default"/>
      </w:rPr>
    </w:lvl>
    <w:lvl w:ilvl="3" w:tplc="55283C84" w:tentative="1">
      <w:start w:val="1"/>
      <w:numFmt w:val="bullet"/>
      <w:lvlText w:val="•"/>
      <w:lvlJc w:val="left"/>
      <w:pPr>
        <w:tabs>
          <w:tab w:val="num" w:pos="2880"/>
        </w:tabs>
        <w:ind w:left="2880" w:hanging="360"/>
      </w:pPr>
      <w:rPr>
        <w:rFonts w:ascii="Arial" w:hAnsi="Arial" w:hint="default"/>
      </w:rPr>
    </w:lvl>
    <w:lvl w:ilvl="4" w:tplc="1E8C5E92" w:tentative="1">
      <w:start w:val="1"/>
      <w:numFmt w:val="bullet"/>
      <w:lvlText w:val="•"/>
      <w:lvlJc w:val="left"/>
      <w:pPr>
        <w:tabs>
          <w:tab w:val="num" w:pos="3600"/>
        </w:tabs>
        <w:ind w:left="3600" w:hanging="360"/>
      </w:pPr>
      <w:rPr>
        <w:rFonts w:ascii="Arial" w:hAnsi="Arial" w:hint="default"/>
      </w:rPr>
    </w:lvl>
    <w:lvl w:ilvl="5" w:tplc="628CF504" w:tentative="1">
      <w:start w:val="1"/>
      <w:numFmt w:val="bullet"/>
      <w:lvlText w:val="•"/>
      <w:lvlJc w:val="left"/>
      <w:pPr>
        <w:tabs>
          <w:tab w:val="num" w:pos="4320"/>
        </w:tabs>
        <w:ind w:left="4320" w:hanging="360"/>
      </w:pPr>
      <w:rPr>
        <w:rFonts w:ascii="Arial" w:hAnsi="Arial" w:hint="default"/>
      </w:rPr>
    </w:lvl>
    <w:lvl w:ilvl="6" w:tplc="41CCB46C" w:tentative="1">
      <w:start w:val="1"/>
      <w:numFmt w:val="bullet"/>
      <w:lvlText w:val="•"/>
      <w:lvlJc w:val="left"/>
      <w:pPr>
        <w:tabs>
          <w:tab w:val="num" w:pos="5040"/>
        </w:tabs>
        <w:ind w:left="5040" w:hanging="360"/>
      </w:pPr>
      <w:rPr>
        <w:rFonts w:ascii="Arial" w:hAnsi="Arial" w:hint="default"/>
      </w:rPr>
    </w:lvl>
    <w:lvl w:ilvl="7" w:tplc="21DA050C" w:tentative="1">
      <w:start w:val="1"/>
      <w:numFmt w:val="bullet"/>
      <w:lvlText w:val="•"/>
      <w:lvlJc w:val="left"/>
      <w:pPr>
        <w:tabs>
          <w:tab w:val="num" w:pos="5760"/>
        </w:tabs>
        <w:ind w:left="5760" w:hanging="360"/>
      </w:pPr>
      <w:rPr>
        <w:rFonts w:ascii="Arial" w:hAnsi="Arial" w:hint="default"/>
      </w:rPr>
    </w:lvl>
    <w:lvl w:ilvl="8" w:tplc="00AABC12" w:tentative="1">
      <w:start w:val="1"/>
      <w:numFmt w:val="bullet"/>
      <w:lvlText w:val="•"/>
      <w:lvlJc w:val="left"/>
      <w:pPr>
        <w:tabs>
          <w:tab w:val="num" w:pos="6480"/>
        </w:tabs>
        <w:ind w:left="6480" w:hanging="360"/>
      </w:pPr>
      <w:rPr>
        <w:rFonts w:ascii="Arial" w:hAnsi="Arial" w:hint="default"/>
      </w:rPr>
    </w:lvl>
  </w:abstractNum>
  <w:abstractNum w:abstractNumId="6">
    <w:nsid w:val="11547C53"/>
    <w:multiLevelType w:val="hybridMultilevel"/>
    <w:tmpl w:val="BEB0FAC2"/>
    <w:lvl w:ilvl="0" w:tplc="831C5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DB25D5"/>
    <w:multiLevelType w:val="hybridMultilevel"/>
    <w:tmpl w:val="0F045E5C"/>
    <w:lvl w:ilvl="0" w:tplc="831C5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836BE"/>
    <w:multiLevelType w:val="hybridMultilevel"/>
    <w:tmpl w:val="9F94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AF08F5"/>
    <w:multiLevelType w:val="hybridMultilevel"/>
    <w:tmpl w:val="A012476A"/>
    <w:lvl w:ilvl="0" w:tplc="851A9D76">
      <w:start w:val="1"/>
      <w:numFmt w:val="bullet"/>
      <w:pStyle w:val="ListBullet2"/>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F1D2CF2"/>
    <w:multiLevelType w:val="multilevel"/>
    <w:tmpl w:val="59404EAE"/>
    <w:numStyleLink w:val="ILRUBullets"/>
  </w:abstractNum>
  <w:abstractNum w:abstractNumId="11">
    <w:nsid w:val="48BB7CFB"/>
    <w:multiLevelType w:val="hybridMultilevel"/>
    <w:tmpl w:val="A1E427E2"/>
    <w:lvl w:ilvl="0" w:tplc="831C55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E6A33"/>
    <w:multiLevelType w:val="hybridMultilevel"/>
    <w:tmpl w:val="0492A228"/>
    <w:lvl w:ilvl="0" w:tplc="0142BD2E">
      <w:start w:val="1"/>
      <w:numFmt w:val="bullet"/>
      <w:pStyle w:val="ListBullet3"/>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88069AB"/>
    <w:multiLevelType w:val="multilevel"/>
    <w:tmpl w:val="59404EAE"/>
    <w:numStyleLink w:val="ILRUBullets"/>
  </w:abstractNum>
  <w:abstractNum w:abstractNumId="14">
    <w:nsid w:val="619B441C"/>
    <w:multiLevelType w:val="multilevel"/>
    <w:tmpl w:val="753018E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633E03D4"/>
    <w:multiLevelType w:val="multilevel"/>
    <w:tmpl w:val="59404EAE"/>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62E4B61"/>
    <w:multiLevelType w:val="hybridMultilevel"/>
    <w:tmpl w:val="3DCA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864313"/>
    <w:multiLevelType w:val="hybridMultilevel"/>
    <w:tmpl w:val="D668E8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C43908"/>
    <w:multiLevelType w:val="hybridMultilevel"/>
    <w:tmpl w:val="48265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num>
  <w:num w:numId="3">
    <w:abstractNumId w:val="1"/>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 w:ilvl="0">
        <w:start w:val="1"/>
        <w:numFmt w:val="decimal"/>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4">
    <w:abstractNumId w:val="3"/>
  </w:num>
  <w:num w:numId="15">
    <w:abstractNumId w:val="10"/>
  </w:num>
  <w:num w:numId="16">
    <w:abstractNumId w:val="13"/>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lvlText w:val="●"/>
        <w:lvlJc w:val="left"/>
        <w:pPr>
          <w:ind w:left="720" w:hanging="360"/>
        </w:pPr>
        <w:rPr>
          <w:rFonts w:ascii="Times New Roman" w:hAnsi="Times New Roman" w:cs="Times New Roman" w:hint="default"/>
        </w:rPr>
      </w:lvl>
    </w:lvlOverride>
    <w:lvlOverride w:ilvl="2">
      <w:lvl w:ilvl="2">
        <w:start w:val="1"/>
        <w:numFmt w:val="bullet"/>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8">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9">
    <w:abstractNumId w:val="17"/>
  </w:num>
  <w:num w:numId="20">
    <w:abstractNumId w:val="3"/>
    <w:lvlOverride w:ilvl="0">
      <w:lvl w:ilvl="0">
        <w:start w:val="1"/>
        <w:numFmt w:val="decimal"/>
        <w:pStyle w:val="ListNumber"/>
        <w:lvlText w:val="%1)"/>
        <w:lvlJc w:val="left"/>
        <w:pPr>
          <w:ind w:left="360" w:hanging="360"/>
        </w:pPr>
        <w:rPr>
          <w:rFonts w:hint="default"/>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2">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3">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4">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5">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6">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7">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28">
    <w:abstractNumId w:val="11"/>
  </w:num>
  <w:num w:numId="29">
    <w:abstractNumId w:val="6"/>
  </w:num>
  <w:num w:numId="30">
    <w:abstractNumId w:val="7"/>
  </w:num>
  <w:num w:numId="31">
    <w:abstractNumId w:val="2"/>
  </w:num>
  <w:num w:numId="32">
    <w:abstractNumId w:val="18"/>
  </w:num>
  <w:num w:numId="33">
    <w:abstractNumId w:val="16"/>
  </w:num>
  <w:num w:numId="34">
    <w:abstractNumId w:val="8"/>
  </w:num>
  <w:num w:numId="35">
    <w:abstractNumId w:val="4"/>
  </w:num>
  <w:num w:numId="36">
    <w:abstractNumId w:val="5"/>
  </w:num>
  <w:num w:numId="37">
    <w:abstractNumId w:val="14"/>
  </w:num>
  <w:num w:numId="38">
    <w:abstractNumId w:val="12"/>
  </w:num>
  <w:num w:numId="39">
    <w:abstractNumId w:val="9"/>
  </w:num>
  <w:num w:numId="40">
    <w:abstractNumId w:val="3"/>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lowerLetter"/>
        <w:pStyle w:val="ListNumber2"/>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13"/>
    <w:rsid w:val="00000ADE"/>
    <w:rsid w:val="00004536"/>
    <w:rsid w:val="000068D1"/>
    <w:rsid w:val="000075BC"/>
    <w:rsid w:val="00007863"/>
    <w:rsid w:val="0001119F"/>
    <w:rsid w:val="00011806"/>
    <w:rsid w:val="000164E6"/>
    <w:rsid w:val="00016C31"/>
    <w:rsid w:val="00017EAC"/>
    <w:rsid w:val="00020019"/>
    <w:rsid w:val="00030192"/>
    <w:rsid w:val="00031B25"/>
    <w:rsid w:val="00031E1A"/>
    <w:rsid w:val="00033D10"/>
    <w:rsid w:val="000341A6"/>
    <w:rsid w:val="000343A9"/>
    <w:rsid w:val="00035566"/>
    <w:rsid w:val="00042850"/>
    <w:rsid w:val="00043844"/>
    <w:rsid w:val="00050F26"/>
    <w:rsid w:val="00053860"/>
    <w:rsid w:val="000553A1"/>
    <w:rsid w:val="000642EB"/>
    <w:rsid w:val="00065DCF"/>
    <w:rsid w:val="00065DF0"/>
    <w:rsid w:val="000668CB"/>
    <w:rsid w:val="00067D52"/>
    <w:rsid w:val="000825F2"/>
    <w:rsid w:val="00083499"/>
    <w:rsid w:val="00083AFE"/>
    <w:rsid w:val="00084A05"/>
    <w:rsid w:val="000860A2"/>
    <w:rsid w:val="0008745E"/>
    <w:rsid w:val="00090CA5"/>
    <w:rsid w:val="00090DC8"/>
    <w:rsid w:val="00091322"/>
    <w:rsid w:val="000A00AC"/>
    <w:rsid w:val="000B03CF"/>
    <w:rsid w:val="000B1F9F"/>
    <w:rsid w:val="000B2CF8"/>
    <w:rsid w:val="000B3CD0"/>
    <w:rsid w:val="000B40BF"/>
    <w:rsid w:val="000B4D01"/>
    <w:rsid w:val="000C1D9B"/>
    <w:rsid w:val="000C277D"/>
    <w:rsid w:val="000C4A72"/>
    <w:rsid w:val="000C55ED"/>
    <w:rsid w:val="000C5AC5"/>
    <w:rsid w:val="000C6F50"/>
    <w:rsid w:val="000D139D"/>
    <w:rsid w:val="000D2717"/>
    <w:rsid w:val="000D3C77"/>
    <w:rsid w:val="000D4523"/>
    <w:rsid w:val="000D48FF"/>
    <w:rsid w:val="000E20EA"/>
    <w:rsid w:val="000E3011"/>
    <w:rsid w:val="000E5A2B"/>
    <w:rsid w:val="000F06DD"/>
    <w:rsid w:val="000F0B34"/>
    <w:rsid w:val="000F0EE7"/>
    <w:rsid w:val="000F5716"/>
    <w:rsid w:val="000F5CE7"/>
    <w:rsid w:val="000F6AA2"/>
    <w:rsid w:val="001016BB"/>
    <w:rsid w:val="001035C5"/>
    <w:rsid w:val="001049D9"/>
    <w:rsid w:val="00104D78"/>
    <w:rsid w:val="001062D1"/>
    <w:rsid w:val="00110FEB"/>
    <w:rsid w:val="00111444"/>
    <w:rsid w:val="001115B8"/>
    <w:rsid w:val="00113286"/>
    <w:rsid w:val="00114627"/>
    <w:rsid w:val="00115682"/>
    <w:rsid w:val="0012024C"/>
    <w:rsid w:val="001211BF"/>
    <w:rsid w:val="001216A8"/>
    <w:rsid w:val="00124797"/>
    <w:rsid w:val="00127CDA"/>
    <w:rsid w:val="00131429"/>
    <w:rsid w:val="00131B44"/>
    <w:rsid w:val="00133994"/>
    <w:rsid w:val="00133C04"/>
    <w:rsid w:val="00136B5F"/>
    <w:rsid w:val="001413A1"/>
    <w:rsid w:val="00141E29"/>
    <w:rsid w:val="00142858"/>
    <w:rsid w:val="00144F45"/>
    <w:rsid w:val="00147189"/>
    <w:rsid w:val="001502E4"/>
    <w:rsid w:val="00153863"/>
    <w:rsid w:val="00154DBB"/>
    <w:rsid w:val="00157235"/>
    <w:rsid w:val="001629CF"/>
    <w:rsid w:val="00177046"/>
    <w:rsid w:val="0018136D"/>
    <w:rsid w:val="00181D59"/>
    <w:rsid w:val="00182366"/>
    <w:rsid w:val="00184A00"/>
    <w:rsid w:val="00184F8A"/>
    <w:rsid w:val="001906F6"/>
    <w:rsid w:val="00191A92"/>
    <w:rsid w:val="00191FCB"/>
    <w:rsid w:val="00193F21"/>
    <w:rsid w:val="00193F31"/>
    <w:rsid w:val="0019538B"/>
    <w:rsid w:val="0019691A"/>
    <w:rsid w:val="001978CA"/>
    <w:rsid w:val="001A4B8B"/>
    <w:rsid w:val="001A59C7"/>
    <w:rsid w:val="001A6F0D"/>
    <w:rsid w:val="001B0A2F"/>
    <w:rsid w:val="001B1EE2"/>
    <w:rsid w:val="001B20D8"/>
    <w:rsid w:val="001B30BD"/>
    <w:rsid w:val="001B38C6"/>
    <w:rsid w:val="001B7ED7"/>
    <w:rsid w:val="001C02F9"/>
    <w:rsid w:val="001C1C4D"/>
    <w:rsid w:val="001C5DFC"/>
    <w:rsid w:val="001C6AF5"/>
    <w:rsid w:val="001C7AF2"/>
    <w:rsid w:val="001D0258"/>
    <w:rsid w:val="001D1B66"/>
    <w:rsid w:val="001D7098"/>
    <w:rsid w:val="001E2DA6"/>
    <w:rsid w:val="001E314E"/>
    <w:rsid w:val="001E3AD1"/>
    <w:rsid w:val="001E3BB0"/>
    <w:rsid w:val="001E41EA"/>
    <w:rsid w:val="001E4A90"/>
    <w:rsid w:val="001F084B"/>
    <w:rsid w:val="001F09E5"/>
    <w:rsid w:val="001F25D4"/>
    <w:rsid w:val="001F365D"/>
    <w:rsid w:val="001F5117"/>
    <w:rsid w:val="001F65AE"/>
    <w:rsid w:val="001F6897"/>
    <w:rsid w:val="001F7328"/>
    <w:rsid w:val="00202132"/>
    <w:rsid w:val="002023C7"/>
    <w:rsid w:val="00207747"/>
    <w:rsid w:val="00215BBE"/>
    <w:rsid w:val="00217328"/>
    <w:rsid w:val="00217362"/>
    <w:rsid w:val="0022023C"/>
    <w:rsid w:val="002216D9"/>
    <w:rsid w:val="00224184"/>
    <w:rsid w:val="002257BB"/>
    <w:rsid w:val="00227396"/>
    <w:rsid w:val="00227BDD"/>
    <w:rsid w:val="00232839"/>
    <w:rsid w:val="00232F32"/>
    <w:rsid w:val="00232F76"/>
    <w:rsid w:val="00233008"/>
    <w:rsid w:val="0023412E"/>
    <w:rsid w:val="0024361A"/>
    <w:rsid w:val="00244130"/>
    <w:rsid w:val="0024415B"/>
    <w:rsid w:val="0024455D"/>
    <w:rsid w:val="002468DB"/>
    <w:rsid w:val="00247DF1"/>
    <w:rsid w:val="00261181"/>
    <w:rsid w:val="002660B3"/>
    <w:rsid w:val="00266D8D"/>
    <w:rsid w:val="00272961"/>
    <w:rsid w:val="00275F99"/>
    <w:rsid w:val="0027719D"/>
    <w:rsid w:val="00280FFA"/>
    <w:rsid w:val="002839E1"/>
    <w:rsid w:val="00285338"/>
    <w:rsid w:val="00285EA3"/>
    <w:rsid w:val="002909FB"/>
    <w:rsid w:val="00292887"/>
    <w:rsid w:val="002932B4"/>
    <w:rsid w:val="0029503A"/>
    <w:rsid w:val="00297ECF"/>
    <w:rsid w:val="002A436A"/>
    <w:rsid w:val="002A4DE1"/>
    <w:rsid w:val="002A602F"/>
    <w:rsid w:val="002A62B0"/>
    <w:rsid w:val="002A7B90"/>
    <w:rsid w:val="002B22C3"/>
    <w:rsid w:val="002B47D1"/>
    <w:rsid w:val="002B5AD5"/>
    <w:rsid w:val="002B756E"/>
    <w:rsid w:val="002C2DCC"/>
    <w:rsid w:val="002D30D1"/>
    <w:rsid w:val="002D5600"/>
    <w:rsid w:val="002E3233"/>
    <w:rsid w:val="002E5943"/>
    <w:rsid w:val="002F081B"/>
    <w:rsid w:val="002F0E31"/>
    <w:rsid w:val="002F2876"/>
    <w:rsid w:val="002F335F"/>
    <w:rsid w:val="002F3B02"/>
    <w:rsid w:val="002F6784"/>
    <w:rsid w:val="002F73B9"/>
    <w:rsid w:val="002F7A04"/>
    <w:rsid w:val="00301A03"/>
    <w:rsid w:val="003024D1"/>
    <w:rsid w:val="00305968"/>
    <w:rsid w:val="00312818"/>
    <w:rsid w:val="0031569B"/>
    <w:rsid w:val="00315D71"/>
    <w:rsid w:val="00315F77"/>
    <w:rsid w:val="00321283"/>
    <w:rsid w:val="003268F9"/>
    <w:rsid w:val="00327605"/>
    <w:rsid w:val="003279FE"/>
    <w:rsid w:val="00334A10"/>
    <w:rsid w:val="00337050"/>
    <w:rsid w:val="00341C16"/>
    <w:rsid w:val="003421F9"/>
    <w:rsid w:val="00342DA8"/>
    <w:rsid w:val="00343B20"/>
    <w:rsid w:val="00343D57"/>
    <w:rsid w:val="0034505B"/>
    <w:rsid w:val="003457F6"/>
    <w:rsid w:val="00347010"/>
    <w:rsid w:val="00350F2F"/>
    <w:rsid w:val="003510EE"/>
    <w:rsid w:val="0036258B"/>
    <w:rsid w:val="003629A6"/>
    <w:rsid w:val="00362A0F"/>
    <w:rsid w:val="003634B9"/>
    <w:rsid w:val="0036369A"/>
    <w:rsid w:val="00363DCD"/>
    <w:rsid w:val="00365442"/>
    <w:rsid w:val="0037100E"/>
    <w:rsid w:val="00377725"/>
    <w:rsid w:val="00384AE5"/>
    <w:rsid w:val="00387445"/>
    <w:rsid w:val="00387454"/>
    <w:rsid w:val="00387FA4"/>
    <w:rsid w:val="00390DC3"/>
    <w:rsid w:val="00391121"/>
    <w:rsid w:val="00393938"/>
    <w:rsid w:val="00393A10"/>
    <w:rsid w:val="00393DAA"/>
    <w:rsid w:val="00395BA7"/>
    <w:rsid w:val="00396092"/>
    <w:rsid w:val="00397D3E"/>
    <w:rsid w:val="003A197B"/>
    <w:rsid w:val="003A1BA0"/>
    <w:rsid w:val="003A3D4E"/>
    <w:rsid w:val="003A4EB5"/>
    <w:rsid w:val="003A5438"/>
    <w:rsid w:val="003A5629"/>
    <w:rsid w:val="003A5634"/>
    <w:rsid w:val="003A5B19"/>
    <w:rsid w:val="003A5E14"/>
    <w:rsid w:val="003B0E84"/>
    <w:rsid w:val="003B0FE3"/>
    <w:rsid w:val="003B3529"/>
    <w:rsid w:val="003B66A5"/>
    <w:rsid w:val="003B712C"/>
    <w:rsid w:val="003B7C75"/>
    <w:rsid w:val="003C3E5D"/>
    <w:rsid w:val="003D06A8"/>
    <w:rsid w:val="003D7B7E"/>
    <w:rsid w:val="003E00E3"/>
    <w:rsid w:val="003E1A53"/>
    <w:rsid w:val="003E2425"/>
    <w:rsid w:val="003E2EA9"/>
    <w:rsid w:val="003E364A"/>
    <w:rsid w:val="003E3BC9"/>
    <w:rsid w:val="003E41A5"/>
    <w:rsid w:val="003E45DA"/>
    <w:rsid w:val="003E4B93"/>
    <w:rsid w:val="003E5F8C"/>
    <w:rsid w:val="003E6166"/>
    <w:rsid w:val="003E6A94"/>
    <w:rsid w:val="003F0BD7"/>
    <w:rsid w:val="003F0C12"/>
    <w:rsid w:val="003F16DA"/>
    <w:rsid w:val="003F1F6C"/>
    <w:rsid w:val="003F48A3"/>
    <w:rsid w:val="003F7755"/>
    <w:rsid w:val="00401A4D"/>
    <w:rsid w:val="00402EFB"/>
    <w:rsid w:val="004063FB"/>
    <w:rsid w:val="00406DD7"/>
    <w:rsid w:val="00407F3C"/>
    <w:rsid w:val="00410C0C"/>
    <w:rsid w:val="00412901"/>
    <w:rsid w:val="00415A0E"/>
    <w:rsid w:val="0041790C"/>
    <w:rsid w:val="00417C15"/>
    <w:rsid w:val="00421183"/>
    <w:rsid w:val="004233D7"/>
    <w:rsid w:val="00423615"/>
    <w:rsid w:val="00423CC8"/>
    <w:rsid w:val="00423CDC"/>
    <w:rsid w:val="004309BE"/>
    <w:rsid w:val="00435FCF"/>
    <w:rsid w:val="004361D7"/>
    <w:rsid w:val="0043797A"/>
    <w:rsid w:val="00443A2E"/>
    <w:rsid w:val="0044452B"/>
    <w:rsid w:val="00460EC4"/>
    <w:rsid w:val="004613FA"/>
    <w:rsid w:val="00462A71"/>
    <w:rsid w:val="00462E39"/>
    <w:rsid w:val="004635CD"/>
    <w:rsid w:val="00463CA9"/>
    <w:rsid w:val="00466057"/>
    <w:rsid w:val="00466B55"/>
    <w:rsid w:val="00471924"/>
    <w:rsid w:val="00472094"/>
    <w:rsid w:val="00472DB6"/>
    <w:rsid w:val="00474B27"/>
    <w:rsid w:val="00475021"/>
    <w:rsid w:val="00475E62"/>
    <w:rsid w:val="00477A1E"/>
    <w:rsid w:val="00477E7F"/>
    <w:rsid w:val="00477F93"/>
    <w:rsid w:val="00480CDF"/>
    <w:rsid w:val="004833E0"/>
    <w:rsid w:val="00483F8A"/>
    <w:rsid w:val="00485EB8"/>
    <w:rsid w:val="00486314"/>
    <w:rsid w:val="00487B9D"/>
    <w:rsid w:val="00490AB9"/>
    <w:rsid w:val="00491345"/>
    <w:rsid w:val="00491B65"/>
    <w:rsid w:val="00492883"/>
    <w:rsid w:val="0049370C"/>
    <w:rsid w:val="004A0E00"/>
    <w:rsid w:val="004A3FE6"/>
    <w:rsid w:val="004A4969"/>
    <w:rsid w:val="004A4FDD"/>
    <w:rsid w:val="004A5BC0"/>
    <w:rsid w:val="004A5C4B"/>
    <w:rsid w:val="004A719B"/>
    <w:rsid w:val="004B0744"/>
    <w:rsid w:val="004B0FA0"/>
    <w:rsid w:val="004B2A1D"/>
    <w:rsid w:val="004B37DB"/>
    <w:rsid w:val="004B4935"/>
    <w:rsid w:val="004B5BFD"/>
    <w:rsid w:val="004C0F4F"/>
    <w:rsid w:val="004C217E"/>
    <w:rsid w:val="004C2477"/>
    <w:rsid w:val="004C25A8"/>
    <w:rsid w:val="004C3624"/>
    <w:rsid w:val="004D0265"/>
    <w:rsid w:val="004D0475"/>
    <w:rsid w:val="004D20E8"/>
    <w:rsid w:val="004D3870"/>
    <w:rsid w:val="004D5269"/>
    <w:rsid w:val="004D541D"/>
    <w:rsid w:val="004E61CD"/>
    <w:rsid w:val="004E71BE"/>
    <w:rsid w:val="004E7924"/>
    <w:rsid w:val="004F0C88"/>
    <w:rsid w:val="004F15AB"/>
    <w:rsid w:val="004F44E3"/>
    <w:rsid w:val="004F78E6"/>
    <w:rsid w:val="0050066C"/>
    <w:rsid w:val="00501039"/>
    <w:rsid w:val="00502F8F"/>
    <w:rsid w:val="00504E62"/>
    <w:rsid w:val="005053B3"/>
    <w:rsid w:val="005105A9"/>
    <w:rsid w:val="0051067B"/>
    <w:rsid w:val="00521DEB"/>
    <w:rsid w:val="005240F4"/>
    <w:rsid w:val="0052555E"/>
    <w:rsid w:val="00525780"/>
    <w:rsid w:val="00526A32"/>
    <w:rsid w:val="005314E8"/>
    <w:rsid w:val="00536CFC"/>
    <w:rsid w:val="00540614"/>
    <w:rsid w:val="00541E56"/>
    <w:rsid w:val="00543FB4"/>
    <w:rsid w:val="00544637"/>
    <w:rsid w:val="00544B66"/>
    <w:rsid w:val="00544BD8"/>
    <w:rsid w:val="00545F61"/>
    <w:rsid w:val="00545FE8"/>
    <w:rsid w:val="00551882"/>
    <w:rsid w:val="0055725F"/>
    <w:rsid w:val="00557658"/>
    <w:rsid w:val="00563115"/>
    <w:rsid w:val="00563563"/>
    <w:rsid w:val="00566AEA"/>
    <w:rsid w:val="00567617"/>
    <w:rsid w:val="00571013"/>
    <w:rsid w:val="0057114C"/>
    <w:rsid w:val="00571684"/>
    <w:rsid w:val="00573BF4"/>
    <w:rsid w:val="00574FCC"/>
    <w:rsid w:val="00575D89"/>
    <w:rsid w:val="00580C35"/>
    <w:rsid w:val="00581D7E"/>
    <w:rsid w:val="00581FB1"/>
    <w:rsid w:val="00585469"/>
    <w:rsid w:val="00585471"/>
    <w:rsid w:val="005860C4"/>
    <w:rsid w:val="00592CD0"/>
    <w:rsid w:val="0059318E"/>
    <w:rsid w:val="0059350F"/>
    <w:rsid w:val="00594B58"/>
    <w:rsid w:val="0059772F"/>
    <w:rsid w:val="00597A1E"/>
    <w:rsid w:val="005A035D"/>
    <w:rsid w:val="005A2377"/>
    <w:rsid w:val="005A31A2"/>
    <w:rsid w:val="005B0A6C"/>
    <w:rsid w:val="005B36D2"/>
    <w:rsid w:val="005B3E79"/>
    <w:rsid w:val="005B4755"/>
    <w:rsid w:val="005B49F7"/>
    <w:rsid w:val="005B50A0"/>
    <w:rsid w:val="005B74D6"/>
    <w:rsid w:val="005B779E"/>
    <w:rsid w:val="005C1D48"/>
    <w:rsid w:val="005D090A"/>
    <w:rsid w:val="005D491F"/>
    <w:rsid w:val="005E0238"/>
    <w:rsid w:val="005E186C"/>
    <w:rsid w:val="005E1AE3"/>
    <w:rsid w:val="005E1CD9"/>
    <w:rsid w:val="005E2F14"/>
    <w:rsid w:val="005E3AE6"/>
    <w:rsid w:val="005E7AB9"/>
    <w:rsid w:val="005F08E3"/>
    <w:rsid w:val="005F1095"/>
    <w:rsid w:val="005F6ED8"/>
    <w:rsid w:val="00605052"/>
    <w:rsid w:val="006055CC"/>
    <w:rsid w:val="006062E5"/>
    <w:rsid w:val="00611B15"/>
    <w:rsid w:val="00613209"/>
    <w:rsid w:val="00613479"/>
    <w:rsid w:val="00613B72"/>
    <w:rsid w:val="006222A3"/>
    <w:rsid w:val="00624856"/>
    <w:rsid w:val="00627122"/>
    <w:rsid w:val="006324C0"/>
    <w:rsid w:val="00632A77"/>
    <w:rsid w:val="006370EF"/>
    <w:rsid w:val="00640754"/>
    <w:rsid w:val="00640A09"/>
    <w:rsid w:val="006413DA"/>
    <w:rsid w:val="0064195F"/>
    <w:rsid w:val="00642463"/>
    <w:rsid w:val="00644125"/>
    <w:rsid w:val="0064607C"/>
    <w:rsid w:val="0064702F"/>
    <w:rsid w:val="006475DE"/>
    <w:rsid w:val="00650B64"/>
    <w:rsid w:val="00651037"/>
    <w:rsid w:val="006535AB"/>
    <w:rsid w:val="0065429D"/>
    <w:rsid w:val="00656348"/>
    <w:rsid w:val="0066188A"/>
    <w:rsid w:val="006620AB"/>
    <w:rsid w:val="006644D1"/>
    <w:rsid w:val="0066740B"/>
    <w:rsid w:val="0067100C"/>
    <w:rsid w:val="00671F0F"/>
    <w:rsid w:val="006735CB"/>
    <w:rsid w:val="00673CE2"/>
    <w:rsid w:val="00674135"/>
    <w:rsid w:val="0067448E"/>
    <w:rsid w:val="0067652E"/>
    <w:rsid w:val="006765B0"/>
    <w:rsid w:val="006765FC"/>
    <w:rsid w:val="00676722"/>
    <w:rsid w:val="00676E89"/>
    <w:rsid w:val="00684F4E"/>
    <w:rsid w:val="00686338"/>
    <w:rsid w:val="0069355A"/>
    <w:rsid w:val="00693F5C"/>
    <w:rsid w:val="0069618F"/>
    <w:rsid w:val="00696E13"/>
    <w:rsid w:val="00697598"/>
    <w:rsid w:val="006978E2"/>
    <w:rsid w:val="00697EB7"/>
    <w:rsid w:val="006A1003"/>
    <w:rsid w:val="006A4153"/>
    <w:rsid w:val="006B0636"/>
    <w:rsid w:val="006B0E64"/>
    <w:rsid w:val="006B1135"/>
    <w:rsid w:val="006B2904"/>
    <w:rsid w:val="006B748A"/>
    <w:rsid w:val="006C10AC"/>
    <w:rsid w:val="006C14FF"/>
    <w:rsid w:val="006C2D86"/>
    <w:rsid w:val="006C3107"/>
    <w:rsid w:val="006C3A80"/>
    <w:rsid w:val="006C3BB3"/>
    <w:rsid w:val="006C644B"/>
    <w:rsid w:val="006C655D"/>
    <w:rsid w:val="006C7A61"/>
    <w:rsid w:val="006D4DF3"/>
    <w:rsid w:val="006D561C"/>
    <w:rsid w:val="006E0E52"/>
    <w:rsid w:val="006E430E"/>
    <w:rsid w:val="006E59FB"/>
    <w:rsid w:val="006E5E40"/>
    <w:rsid w:val="006E62E3"/>
    <w:rsid w:val="006E7968"/>
    <w:rsid w:val="006F2654"/>
    <w:rsid w:val="006F3FBE"/>
    <w:rsid w:val="006F5888"/>
    <w:rsid w:val="006F6E81"/>
    <w:rsid w:val="006F731C"/>
    <w:rsid w:val="006F74C6"/>
    <w:rsid w:val="00700058"/>
    <w:rsid w:val="00704E4F"/>
    <w:rsid w:val="00710BB7"/>
    <w:rsid w:val="007119AB"/>
    <w:rsid w:val="00712C73"/>
    <w:rsid w:val="00713ED7"/>
    <w:rsid w:val="0072065F"/>
    <w:rsid w:val="00720DE2"/>
    <w:rsid w:val="00722857"/>
    <w:rsid w:val="0072364C"/>
    <w:rsid w:val="007236F5"/>
    <w:rsid w:val="00725621"/>
    <w:rsid w:val="00726958"/>
    <w:rsid w:val="0072745C"/>
    <w:rsid w:val="00727732"/>
    <w:rsid w:val="007307C8"/>
    <w:rsid w:val="007313B5"/>
    <w:rsid w:val="007326BC"/>
    <w:rsid w:val="0073666E"/>
    <w:rsid w:val="0074004A"/>
    <w:rsid w:val="00741E64"/>
    <w:rsid w:val="007452B6"/>
    <w:rsid w:val="007468AD"/>
    <w:rsid w:val="00750A48"/>
    <w:rsid w:val="007543A2"/>
    <w:rsid w:val="00756DF5"/>
    <w:rsid w:val="00756E89"/>
    <w:rsid w:val="00760961"/>
    <w:rsid w:val="00760CBA"/>
    <w:rsid w:val="00762B50"/>
    <w:rsid w:val="007631C6"/>
    <w:rsid w:val="007631D7"/>
    <w:rsid w:val="0076771F"/>
    <w:rsid w:val="0077191C"/>
    <w:rsid w:val="00771AB6"/>
    <w:rsid w:val="00775E08"/>
    <w:rsid w:val="00776EED"/>
    <w:rsid w:val="00776F73"/>
    <w:rsid w:val="00777285"/>
    <w:rsid w:val="007806FB"/>
    <w:rsid w:val="00780749"/>
    <w:rsid w:val="00780B35"/>
    <w:rsid w:val="00782060"/>
    <w:rsid w:val="007823A2"/>
    <w:rsid w:val="00782BEE"/>
    <w:rsid w:val="0078575B"/>
    <w:rsid w:val="007865D6"/>
    <w:rsid w:val="00786AD0"/>
    <w:rsid w:val="00786B70"/>
    <w:rsid w:val="00787F59"/>
    <w:rsid w:val="00790900"/>
    <w:rsid w:val="00790D0A"/>
    <w:rsid w:val="00791E73"/>
    <w:rsid w:val="00793A37"/>
    <w:rsid w:val="00795AA0"/>
    <w:rsid w:val="00796734"/>
    <w:rsid w:val="00796FFB"/>
    <w:rsid w:val="007A07E0"/>
    <w:rsid w:val="007A2D73"/>
    <w:rsid w:val="007A3B96"/>
    <w:rsid w:val="007A419E"/>
    <w:rsid w:val="007A4B22"/>
    <w:rsid w:val="007B4B13"/>
    <w:rsid w:val="007B4DC9"/>
    <w:rsid w:val="007C1C9E"/>
    <w:rsid w:val="007C485B"/>
    <w:rsid w:val="007C4D12"/>
    <w:rsid w:val="007D035E"/>
    <w:rsid w:val="007D084C"/>
    <w:rsid w:val="007D3AA7"/>
    <w:rsid w:val="007E0170"/>
    <w:rsid w:val="007E07AD"/>
    <w:rsid w:val="007E097F"/>
    <w:rsid w:val="007E16C6"/>
    <w:rsid w:val="007E37FC"/>
    <w:rsid w:val="007E3C83"/>
    <w:rsid w:val="007E43B8"/>
    <w:rsid w:val="007E4F4A"/>
    <w:rsid w:val="007E53BE"/>
    <w:rsid w:val="007E75F3"/>
    <w:rsid w:val="007F759D"/>
    <w:rsid w:val="00803470"/>
    <w:rsid w:val="00805C8A"/>
    <w:rsid w:val="00805ECE"/>
    <w:rsid w:val="0080647E"/>
    <w:rsid w:val="008068FB"/>
    <w:rsid w:val="008117C9"/>
    <w:rsid w:val="0081250C"/>
    <w:rsid w:val="00812F31"/>
    <w:rsid w:val="0081639F"/>
    <w:rsid w:val="008170BB"/>
    <w:rsid w:val="008170E9"/>
    <w:rsid w:val="008203AE"/>
    <w:rsid w:val="00820573"/>
    <w:rsid w:val="008221D0"/>
    <w:rsid w:val="008222E5"/>
    <w:rsid w:val="00822FAB"/>
    <w:rsid w:val="008248FA"/>
    <w:rsid w:val="00826BA9"/>
    <w:rsid w:val="0082731A"/>
    <w:rsid w:val="0083103C"/>
    <w:rsid w:val="00831BC2"/>
    <w:rsid w:val="00832A77"/>
    <w:rsid w:val="00833892"/>
    <w:rsid w:val="008338B1"/>
    <w:rsid w:val="00835546"/>
    <w:rsid w:val="00836F20"/>
    <w:rsid w:val="008403FE"/>
    <w:rsid w:val="00842384"/>
    <w:rsid w:val="00845854"/>
    <w:rsid w:val="00856DD8"/>
    <w:rsid w:val="0086074A"/>
    <w:rsid w:val="00861356"/>
    <w:rsid w:val="00861617"/>
    <w:rsid w:val="00862225"/>
    <w:rsid w:val="00862569"/>
    <w:rsid w:val="00865B69"/>
    <w:rsid w:val="0087183F"/>
    <w:rsid w:val="00871D3E"/>
    <w:rsid w:val="008739FC"/>
    <w:rsid w:val="00873CD1"/>
    <w:rsid w:val="00874C7F"/>
    <w:rsid w:val="00884CCA"/>
    <w:rsid w:val="00894DD3"/>
    <w:rsid w:val="008A07C4"/>
    <w:rsid w:val="008A16C7"/>
    <w:rsid w:val="008A37AA"/>
    <w:rsid w:val="008A427E"/>
    <w:rsid w:val="008B27F3"/>
    <w:rsid w:val="008B442C"/>
    <w:rsid w:val="008B52D2"/>
    <w:rsid w:val="008B7E47"/>
    <w:rsid w:val="008C2093"/>
    <w:rsid w:val="008C3C7B"/>
    <w:rsid w:val="008C4543"/>
    <w:rsid w:val="008C55FB"/>
    <w:rsid w:val="008C6944"/>
    <w:rsid w:val="008D05AB"/>
    <w:rsid w:val="008D3A82"/>
    <w:rsid w:val="008D3DED"/>
    <w:rsid w:val="008D55FF"/>
    <w:rsid w:val="008D621B"/>
    <w:rsid w:val="008D76A9"/>
    <w:rsid w:val="008D78EB"/>
    <w:rsid w:val="008E04A2"/>
    <w:rsid w:val="008E1BE4"/>
    <w:rsid w:val="008E2ED1"/>
    <w:rsid w:val="008E569E"/>
    <w:rsid w:val="008E6C3C"/>
    <w:rsid w:val="008E7494"/>
    <w:rsid w:val="008F01F1"/>
    <w:rsid w:val="008F034B"/>
    <w:rsid w:val="008F0538"/>
    <w:rsid w:val="008F318B"/>
    <w:rsid w:val="008F3DC1"/>
    <w:rsid w:val="008F7AFE"/>
    <w:rsid w:val="00901DA0"/>
    <w:rsid w:val="00902601"/>
    <w:rsid w:val="00905C17"/>
    <w:rsid w:val="00920512"/>
    <w:rsid w:val="00923FF8"/>
    <w:rsid w:val="0092697C"/>
    <w:rsid w:val="00933447"/>
    <w:rsid w:val="00933B8F"/>
    <w:rsid w:val="009341DF"/>
    <w:rsid w:val="009360B9"/>
    <w:rsid w:val="0093789A"/>
    <w:rsid w:val="009416C3"/>
    <w:rsid w:val="00944B10"/>
    <w:rsid w:val="00944BEF"/>
    <w:rsid w:val="00947CAE"/>
    <w:rsid w:val="00952C26"/>
    <w:rsid w:val="0095480B"/>
    <w:rsid w:val="0096409A"/>
    <w:rsid w:val="0096525B"/>
    <w:rsid w:val="00965D4F"/>
    <w:rsid w:val="00965FD6"/>
    <w:rsid w:val="0096699C"/>
    <w:rsid w:val="00976B51"/>
    <w:rsid w:val="00977E4C"/>
    <w:rsid w:val="00981F27"/>
    <w:rsid w:val="00982C22"/>
    <w:rsid w:val="00983E04"/>
    <w:rsid w:val="009868EE"/>
    <w:rsid w:val="0098722E"/>
    <w:rsid w:val="0098794D"/>
    <w:rsid w:val="00987D60"/>
    <w:rsid w:val="0099078D"/>
    <w:rsid w:val="00994270"/>
    <w:rsid w:val="0099480F"/>
    <w:rsid w:val="00995EA3"/>
    <w:rsid w:val="009A0784"/>
    <w:rsid w:val="009A07C7"/>
    <w:rsid w:val="009A15F1"/>
    <w:rsid w:val="009A3CF9"/>
    <w:rsid w:val="009A4406"/>
    <w:rsid w:val="009A59F3"/>
    <w:rsid w:val="009A7072"/>
    <w:rsid w:val="009A76DD"/>
    <w:rsid w:val="009C009A"/>
    <w:rsid w:val="009C04A2"/>
    <w:rsid w:val="009C1BBA"/>
    <w:rsid w:val="009C1F93"/>
    <w:rsid w:val="009C28A8"/>
    <w:rsid w:val="009C3DF1"/>
    <w:rsid w:val="009C40DF"/>
    <w:rsid w:val="009C472B"/>
    <w:rsid w:val="009D0CF7"/>
    <w:rsid w:val="009D10B6"/>
    <w:rsid w:val="009D1F34"/>
    <w:rsid w:val="009D551B"/>
    <w:rsid w:val="009D62B1"/>
    <w:rsid w:val="009D7092"/>
    <w:rsid w:val="009D754A"/>
    <w:rsid w:val="009D7895"/>
    <w:rsid w:val="009E496C"/>
    <w:rsid w:val="009E49EF"/>
    <w:rsid w:val="009E530C"/>
    <w:rsid w:val="009E5772"/>
    <w:rsid w:val="009E5C64"/>
    <w:rsid w:val="009F30D6"/>
    <w:rsid w:val="009F7636"/>
    <w:rsid w:val="00A011E2"/>
    <w:rsid w:val="00A020A0"/>
    <w:rsid w:val="00A05C60"/>
    <w:rsid w:val="00A13A40"/>
    <w:rsid w:val="00A1468A"/>
    <w:rsid w:val="00A14945"/>
    <w:rsid w:val="00A16896"/>
    <w:rsid w:val="00A214A9"/>
    <w:rsid w:val="00A2180B"/>
    <w:rsid w:val="00A26574"/>
    <w:rsid w:val="00A403BF"/>
    <w:rsid w:val="00A40858"/>
    <w:rsid w:val="00A40F83"/>
    <w:rsid w:val="00A410BE"/>
    <w:rsid w:val="00A41BE4"/>
    <w:rsid w:val="00A44FDE"/>
    <w:rsid w:val="00A45104"/>
    <w:rsid w:val="00A46F3E"/>
    <w:rsid w:val="00A47147"/>
    <w:rsid w:val="00A50AB6"/>
    <w:rsid w:val="00A51BDC"/>
    <w:rsid w:val="00A54D6C"/>
    <w:rsid w:val="00A57457"/>
    <w:rsid w:val="00A576CD"/>
    <w:rsid w:val="00A61710"/>
    <w:rsid w:val="00A641C1"/>
    <w:rsid w:val="00A67159"/>
    <w:rsid w:val="00A67859"/>
    <w:rsid w:val="00A71D98"/>
    <w:rsid w:val="00A71E3C"/>
    <w:rsid w:val="00A73687"/>
    <w:rsid w:val="00A73EA8"/>
    <w:rsid w:val="00A74D65"/>
    <w:rsid w:val="00A754DD"/>
    <w:rsid w:val="00A75607"/>
    <w:rsid w:val="00A771CC"/>
    <w:rsid w:val="00A85960"/>
    <w:rsid w:val="00A90F67"/>
    <w:rsid w:val="00A91E56"/>
    <w:rsid w:val="00A942E5"/>
    <w:rsid w:val="00A94910"/>
    <w:rsid w:val="00A953C8"/>
    <w:rsid w:val="00A964C2"/>
    <w:rsid w:val="00AA03BD"/>
    <w:rsid w:val="00AA2C31"/>
    <w:rsid w:val="00AA671F"/>
    <w:rsid w:val="00AA6E20"/>
    <w:rsid w:val="00AA79F9"/>
    <w:rsid w:val="00AA7B71"/>
    <w:rsid w:val="00AB2317"/>
    <w:rsid w:val="00AB34E1"/>
    <w:rsid w:val="00AB4FE2"/>
    <w:rsid w:val="00AC1256"/>
    <w:rsid w:val="00AC373A"/>
    <w:rsid w:val="00AC4FC9"/>
    <w:rsid w:val="00AC6B37"/>
    <w:rsid w:val="00AC7C46"/>
    <w:rsid w:val="00AD2056"/>
    <w:rsid w:val="00AD4F61"/>
    <w:rsid w:val="00AD55C9"/>
    <w:rsid w:val="00AD74E8"/>
    <w:rsid w:val="00AD793C"/>
    <w:rsid w:val="00AE2523"/>
    <w:rsid w:val="00AE3029"/>
    <w:rsid w:val="00AE33C5"/>
    <w:rsid w:val="00AE5ADB"/>
    <w:rsid w:val="00AE659E"/>
    <w:rsid w:val="00AE7000"/>
    <w:rsid w:val="00AF1DAD"/>
    <w:rsid w:val="00AF2349"/>
    <w:rsid w:val="00AF25CE"/>
    <w:rsid w:val="00AF2842"/>
    <w:rsid w:val="00AF2DB8"/>
    <w:rsid w:val="00AF3132"/>
    <w:rsid w:val="00AF36E6"/>
    <w:rsid w:val="00B022AB"/>
    <w:rsid w:val="00B022CA"/>
    <w:rsid w:val="00B024B9"/>
    <w:rsid w:val="00B02CF7"/>
    <w:rsid w:val="00B03384"/>
    <w:rsid w:val="00B0341C"/>
    <w:rsid w:val="00B05C54"/>
    <w:rsid w:val="00B10ED0"/>
    <w:rsid w:val="00B123CC"/>
    <w:rsid w:val="00B14700"/>
    <w:rsid w:val="00B16C0A"/>
    <w:rsid w:val="00B179EE"/>
    <w:rsid w:val="00B20C41"/>
    <w:rsid w:val="00B25191"/>
    <w:rsid w:val="00B26FB7"/>
    <w:rsid w:val="00B2724D"/>
    <w:rsid w:val="00B27646"/>
    <w:rsid w:val="00B27B91"/>
    <w:rsid w:val="00B30E92"/>
    <w:rsid w:val="00B31E39"/>
    <w:rsid w:val="00B32C77"/>
    <w:rsid w:val="00B3523B"/>
    <w:rsid w:val="00B41804"/>
    <w:rsid w:val="00B42F59"/>
    <w:rsid w:val="00B521E0"/>
    <w:rsid w:val="00B523D3"/>
    <w:rsid w:val="00B569A6"/>
    <w:rsid w:val="00B57390"/>
    <w:rsid w:val="00B57FE6"/>
    <w:rsid w:val="00B66FCC"/>
    <w:rsid w:val="00B671D6"/>
    <w:rsid w:val="00B678DA"/>
    <w:rsid w:val="00B701B2"/>
    <w:rsid w:val="00B71752"/>
    <w:rsid w:val="00B718F2"/>
    <w:rsid w:val="00B7202A"/>
    <w:rsid w:val="00B7368F"/>
    <w:rsid w:val="00B81F95"/>
    <w:rsid w:val="00B835E1"/>
    <w:rsid w:val="00B83681"/>
    <w:rsid w:val="00B83A8B"/>
    <w:rsid w:val="00B85014"/>
    <w:rsid w:val="00B8607D"/>
    <w:rsid w:val="00B8699C"/>
    <w:rsid w:val="00B90E32"/>
    <w:rsid w:val="00B91726"/>
    <w:rsid w:val="00B91BBF"/>
    <w:rsid w:val="00B934C4"/>
    <w:rsid w:val="00B93EA2"/>
    <w:rsid w:val="00B94CCE"/>
    <w:rsid w:val="00BA3038"/>
    <w:rsid w:val="00BA446F"/>
    <w:rsid w:val="00BB1B3E"/>
    <w:rsid w:val="00BD1AA5"/>
    <w:rsid w:val="00BD2332"/>
    <w:rsid w:val="00BD2366"/>
    <w:rsid w:val="00BD3FAC"/>
    <w:rsid w:val="00BD6459"/>
    <w:rsid w:val="00BD6770"/>
    <w:rsid w:val="00BD6DE6"/>
    <w:rsid w:val="00BD7B56"/>
    <w:rsid w:val="00BE24FF"/>
    <w:rsid w:val="00BE4169"/>
    <w:rsid w:val="00BE43D9"/>
    <w:rsid w:val="00BE47AA"/>
    <w:rsid w:val="00BE72CD"/>
    <w:rsid w:val="00BF6565"/>
    <w:rsid w:val="00BF6B86"/>
    <w:rsid w:val="00C03092"/>
    <w:rsid w:val="00C0340F"/>
    <w:rsid w:val="00C03C65"/>
    <w:rsid w:val="00C0542E"/>
    <w:rsid w:val="00C06C0A"/>
    <w:rsid w:val="00C10465"/>
    <w:rsid w:val="00C132C5"/>
    <w:rsid w:val="00C1547F"/>
    <w:rsid w:val="00C1599D"/>
    <w:rsid w:val="00C16A68"/>
    <w:rsid w:val="00C17392"/>
    <w:rsid w:val="00C17AC0"/>
    <w:rsid w:val="00C23598"/>
    <w:rsid w:val="00C23798"/>
    <w:rsid w:val="00C24D1B"/>
    <w:rsid w:val="00C25B50"/>
    <w:rsid w:val="00C32904"/>
    <w:rsid w:val="00C365DF"/>
    <w:rsid w:val="00C37610"/>
    <w:rsid w:val="00C44ED8"/>
    <w:rsid w:val="00C4593B"/>
    <w:rsid w:val="00C504EB"/>
    <w:rsid w:val="00C52571"/>
    <w:rsid w:val="00C53FE5"/>
    <w:rsid w:val="00C602E2"/>
    <w:rsid w:val="00C62102"/>
    <w:rsid w:val="00C6680A"/>
    <w:rsid w:val="00C70A94"/>
    <w:rsid w:val="00C71CCE"/>
    <w:rsid w:val="00C81004"/>
    <w:rsid w:val="00C81226"/>
    <w:rsid w:val="00C815CC"/>
    <w:rsid w:val="00C81740"/>
    <w:rsid w:val="00C817FA"/>
    <w:rsid w:val="00C841C3"/>
    <w:rsid w:val="00C8597B"/>
    <w:rsid w:val="00C917D3"/>
    <w:rsid w:val="00C9218D"/>
    <w:rsid w:val="00C92225"/>
    <w:rsid w:val="00C92503"/>
    <w:rsid w:val="00C95FD3"/>
    <w:rsid w:val="00C97A5C"/>
    <w:rsid w:val="00CA1038"/>
    <w:rsid w:val="00CA2F69"/>
    <w:rsid w:val="00CA51CB"/>
    <w:rsid w:val="00CA5BB2"/>
    <w:rsid w:val="00CA632F"/>
    <w:rsid w:val="00CA6E92"/>
    <w:rsid w:val="00CA7842"/>
    <w:rsid w:val="00CB120C"/>
    <w:rsid w:val="00CB16D1"/>
    <w:rsid w:val="00CB3A46"/>
    <w:rsid w:val="00CB5B50"/>
    <w:rsid w:val="00CB68C5"/>
    <w:rsid w:val="00CB6F61"/>
    <w:rsid w:val="00CC0597"/>
    <w:rsid w:val="00CC11C4"/>
    <w:rsid w:val="00CC1CA7"/>
    <w:rsid w:val="00CC2C10"/>
    <w:rsid w:val="00CC4774"/>
    <w:rsid w:val="00CD0184"/>
    <w:rsid w:val="00CD1813"/>
    <w:rsid w:val="00CD627E"/>
    <w:rsid w:val="00CD643C"/>
    <w:rsid w:val="00CD6618"/>
    <w:rsid w:val="00CD76F5"/>
    <w:rsid w:val="00CE0277"/>
    <w:rsid w:val="00CE0887"/>
    <w:rsid w:val="00CE1550"/>
    <w:rsid w:val="00CE5A78"/>
    <w:rsid w:val="00CE798B"/>
    <w:rsid w:val="00CF2097"/>
    <w:rsid w:val="00CF2B93"/>
    <w:rsid w:val="00CF5167"/>
    <w:rsid w:val="00CF519F"/>
    <w:rsid w:val="00CF6056"/>
    <w:rsid w:val="00CF7948"/>
    <w:rsid w:val="00D028D5"/>
    <w:rsid w:val="00D03C5C"/>
    <w:rsid w:val="00D102DD"/>
    <w:rsid w:val="00D10E74"/>
    <w:rsid w:val="00D115AF"/>
    <w:rsid w:val="00D147AC"/>
    <w:rsid w:val="00D14C04"/>
    <w:rsid w:val="00D15715"/>
    <w:rsid w:val="00D216E6"/>
    <w:rsid w:val="00D3076A"/>
    <w:rsid w:val="00D308EE"/>
    <w:rsid w:val="00D30D28"/>
    <w:rsid w:val="00D32171"/>
    <w:rsid w:val="00D35CC4"/>
    <w:rsid w:val="00D35DCD"/>
    <w:rsid w:val="00D40D0F"/>
    <w:rsid w:val="00D41C96"/>
    <w:rsid w:val="00D4279F"/>
    <w:rsid w:val="00D42893"/>
    <w:rsid w:val="00D42E32"/>
    <w:rsid w:val="00D46B02"/>
    <w:rsid w:val="00D46FFA"/>
    <w:rsid w:val="00D47F20"/>
    <w:rsid w:val="00D5008D"/>
    <w:rsid w:val="00D51BC1"/>
    <w:rsid w:val="00D52114"/>
    <w:rsid w:val="00D52FEB"/>
    <w:rsid w:val="00D53551"/>
    <w:rsid w:val="00D54374"/>
    <w:rsid w:val="00D600EC"/>
    <w:rsid w:val="00D645B1"/>
    <w:rsid w:val="00D66B1F"/>
    <w:rsid w:val="00D7256C"/>
    <w:rsid w:val="00D72A41"/>
    <w:rsid w:val="00D769CD"/>
    <w:rsid w:val="00D8032C"/>
    <w:rsid w:val="00D823DE"/>
    <w:rsid w:val="00D84707"/>
    <w:rsid w:val="00D875D1"/>
    <w:rsid w:val="00D87C14"/>
    <w:rsid w:val="00D92885"/>
    <w:rsid w:val="00D93639"/>
    <w:rsid w:val="00D94345"/>
    <w:rsid w:val="00D95921"/>
    <w:rsid w:val="00D9799B"/>
    <w:rsid w:val="00D97F51"/>
    <w:rsid w:val="00DA432A"/>
    <w:rsid w:val="00DA5989"/>
    <w:rsid w:val="00DA6358"/>
    <w:rsid w:val="00DB150D"/>
    <w:rsid w:val="00DB16DE"/>
    <w:rsid w:val="00DB3A75"/>
    <w:rsid w:val="00DB3B1A"/>
    <w:rsid w:val="00DB5AAC"/>
    <w:rsid w:val="00DB6D88"/>
    <w:rsid w:val="00DB724D"/>
    <w:rsid w:val="00DC05FE"/>
    <w:rsid w:val="00DC10D1"/>
    <w:rsid w:val="00DC16BD"/>
    <w:rsid w:val="00DC54A7"/>
    <w:rsid w:val="00DD0CEA"/>
    <w:rsid w:val="00DD1F5A"/>
    <w:rsid w:val="00DD3B80"/>
    <w:rsid w:val="00DE1054"/>
    <w:rsid w:val="00DE1721"/>
    <w:rsid w:val="00DE6486"/>
    <w:rsid w:val="00DE65A1"/>
    <w:rsid w:val="00DE65C8"/>
    <w:rsid w:val="00DE693A"/>
    <w:rsid w:val="00DE7583"/>
    <w:rsid w:val="00DF2535"/>
    <w:rsid w:val="00DF2E33"/>
    <w:rsid w:val="00DF3557"/>
    <w:rsid w:val="00DF697B"/>
    <w:rsid w:val="00DF7F18"/>
    <w:rsid w:val="00E00EF8"/>
    <w:rsid w:val="00E04873"/>
    <w:rsid w:val="00E05DC3"/>
    <w:rsid w:val="00E06D64"/>
    <w:rsid w:val="00E100A6"/>
    <w:rsid w:val="00E1140D"/>
    <w:rsid w:val="00E114CB"/>
    <w:rsid w:val="00E143AE"/>
    <w:rsid w:val="00E16D80"/>
    <w:rsid w:val="00E170FB"/>
    <w:rsid w:val="00E17DA0"/>
    <w:rsid w:val="00E2179D"/>
    <w:rsid w:val="00E21E95"/>
    <w:rsid w:val="00E21F1F"/>
    <w:rsid w:val="00E22823"/>
    <w:rsid w:val="00E24B0B"/>
    <w:rsid w:val="00E25F9C"/>
    <w:rsid w:val="00E274D1"/>
    <w:rsid w:val="00E2753F"/>
    <w:rsid w:val="00E27D65"/>
    <w:rsid w:val="00E27E84"/>
    <w:rsid w:val="00E30AB3"/>
    <w:rsid w:val="00E32878"/>
    <w:rsid w:val="00E33139"/>
    <w:rsid w:val="00E36707"/>
    <w:rsid w:val="00E37E80"/>
    <w:rsid w:val="00E40DEC"/>
    <w:rsid w:val="00E41582"/>
    <w:rsid w:val="00E41F8F"/>
    <w:rsid w:val="00E42816"/>
    <w:rsid w:val="00E44B07"/>
    <w:rsid w:val="00E451BC"/>
    <w:rsid w:val="00E5054E"/>
    <w:rsid w:val="00E5071C"/>
    <w:rsid w:val="00E50ABB"/>
    <w:rsid w:val="00E52217"/>
    <w:rsid w:val="00E52D60"/>
    <w:rsid w:val="00E57A2C"/>
    <w:rsid w:val="00E64249"/>
    <w:rsid w:val="00E651BF"/>
    <w:rsid w:val="00E65E91"/>
    <w:rsid w:val="00E70003"/>
    <w:rsid w:val="00E73C76"/>
    <w:rsid w:val="00E7522A"/>
    <w:rsid w:val="00E75E6E"/>
    <w:rsid w:val="00E76F09"/>
    <w:rsid w:val="00E773E8"/>
    <w:rsid w:val="00E77B9A"/>
    <w:rsid w:val="00E8263F"/>
    <w:rsid w:val="00E8466A"/>
    <w:rsid w:val="00E85713"/>
    <w:rsid w:val="00E85E48"/>
    <w:rsid w:val="00E86B21"/>
    <w:rsid w:val="00E86E1B"/>
    <w:rsid w:val="00E9080B"/>
    <w:rsid w:val="00E92DA6"/>
    <w:rsid w:val="00E9372E"/>
    <w:rsid w:val="00E94B7E"/>
    <w:rsid w:val="00EA0151"/>
    <w:rsid w:val="00EA5BF8"/>
    <w:rsid w:val="00EA6101"/>
    <w:rsid w:val="00EA6785"/>
    <w:rsid w:val="00EA780A"/>
    <w:rsid w:val="00EB0A29"/>
    <w:rsid w:val="00EB3073"/>
    <w:rsid w:val="00EB3754"/>
    <w:rsid w:val="00EB3CB3"/>
    <w:rsid w:val="00EB3F16"/>
    <w:rsid w:val="00EB4C08"/>
    <w:rsid w:val="00EB5424"/>
    <w:rsid w:val="00EB7227"/>
    <w:rsid w:val="00EB7BBD"/>
    <w:rsid w:val="00EC1E79"/>
    <w:rsid w:val="00EC2AED"/>
    <w:rsid w:val="00EC6FC1"/>
    <w:rsid w:val="00EC7436"/>
    <w:rsid w:val="00ED0CE8"/>
    <w:rsid w:val="00ED10E0"/>
    <w:rsid w:val="00ED1903"/>
    <w:rsid w:val="00ED1F80"/>
    <w:rsid w:val="00ED20AD"/>
    <w:rsid w:val="00ED2BA2"/>
    <w:rsid w:val="00ED50B8"/>
    <w:rsid w:val="00ED64D9"/>
    <w:rsid w:val="00EE11EF"/>
    <w:rsid w:val="00EE4710"/>
    <w:rsid w:val="00EE5411"/>
    <w:rsid w:val="00EE5432"/>
    <w:rsid w:val="00EE6494"/>
    <w:rsid w:val="00EE678E"/>
    <w:rsid w:val="00EF0A29"/>
    <w:rsid w:val="00EF18FF"/>
    <w:rsid w:val="00EF3F05"/>
    <w:rsid w:val="00EF6649"/>
    <w:rsid w:val="00F02BEC"/>
    <w:rsid w:val="00F04D26"/>
    <w:rsid w:val="00F13A20"/>
    <w:rsid w:val="00F20D8C"/>
    <w:rsid w:val="00F2149D"/>
    <w:rsid w:val="00F22053"/>
    <w:rsid w:val="00F22B94"/>
    <w:rsid w:val="00F2539D"/>
    <w:rsid w:val="00F30518"/>
    <w:rsid w:val="00F314B2"/>
    <w:rsid w:val="00F31B31"/>
    <w:rsid w:val="00F323D7"/>
    <w:rsid w:val="00F340B4"/>
    <w:rsid w:val="00F3432E"/>
    <w:rsid w:val="00F35361"/>
    <w:rsid w:val="00F353EF"/>
    <w:rsid w:val="00F36421"/>
    <w:rsid w:val="00F36890"/>
    <w:rsid w:val="00F42D3E"/>
    <w:rsid w:val="00F446A0"/>
    <w:rsid w:val="00F44AB9"/>
    <w:rsid w:val="00F44B8B"/>
    <w:rsid w:val="00F459DC"/>
    <w:rsid w:val="00F51C95"/>
    <w:rsid w:val="00F54711"/>
    <w:rsid w:val="00F54802"/>
    <w:rsid w:val="00F55117"/>
    <w:rsid w:val="00F55210"/>
    <w:rsid w:val="00F562BD"/>
    <w:rsid w:val="00F56599"/>
    <w:rsid w:val="00F634AD"/>
    <w:rsid w:val="00F6394B"/>
    <w:rsid w:val="00F6658B"/>
    <w:rsid w:val="00F66A66"/>
    <w:rsid w:val="00F7104D"/>
    <w:rsid w:val="00F7245E"/>
    <w:rsid w:val="00F736CC"/>
    <w:rsid w:val="00F738D8"/>
    <w:rsid w:val="00F74743"/>
    <w:rsid w:val="00F74A16"/>
    <w:rsid w:val="00F76178"/>
    <w:rsid w:val="00F762BE"/>
    <w:rsid w:val="00F771D0"/>
    <w:rsid w:val="00F7757F"/>
    <w:rsid w:val="00F82A1B"/>
    <w:rsid w:val="00F85EA2"/>
    <w:rsid w:val="00F91AE1"/>
    <w:rsid w:val="00F923C5"/>
    <w:rsid w:val="00F951A3"/>
    <w:rsid w:val="00F967A6"/>
    <w:rsid w:val="00FA2531"/>
    <w:rsid w:val="00FA7A55"/>
    <w:rsid w:val="00FB0A72"/>
    <w:rsid w:val="00FB579F"/>
    <w:rsid w:val="00FC0274"/>
    <w:rsid w:val="00FC26B0"/>
    <w:rsid w:val="00FC2B59"/>
    <w:rsid w:val="00FC5C4C"/>
    <w:rsid w:val="00FC6DA2"/>
    <w:rsid w:val="00FC78E5"/>
    <w:rsid w:val="00FD360A"/>
    <w:rsid w:val="00FD39EF"/>
    <w:rsid w:val="00FD713D"/>
    <w:rsid w:val="00FD7E59"/>
    <w:rsid w:val="00FF0F46"/>
    <w:rsid w:val="00FF2507"/>
    <w:rsid w:val="00FF31C5"/>
    <w:rsid w:val="00FF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7A4E6"/>
  <w15:docId w15:val="{8E43EE23-AEB2-4E62-B0EE-F31D4BC1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C3C"/>
    <w:rPr>
      <w:rFonts w:ascii="Calibri" w:eastAsia="Times New Roman" w:hAnsi="Calibri" w:cs="Times New Roman"/>
      <w:sz w:val="24"/>
      <w:szCs w:val="24"/>
      <w:lang w:bidi="en-US"/>
    </w:rPr>
  </w:style>
  <w:style w:type="paragraph" w:styleId="Heading1">
    <w:name w:val="heading 1"/>
    <w:basedOn w:val="BodyText"/>
    <w:next w:val="BodyText"/>
    <w:link w:val="Heading1Char"/>
    <w:uiPriority w:val="9"/>
    <w:qFormat/>
    <w:rsid w:val="00443A2E"/>
    <w:pPr>
      <w:keepNext/>
      <w:keepLines/>
      <w:pBdr>
        <w:top w:val="single" w:sz="4" w:space="1" w:color="auto"/>
        <w:left w:val="single" w:sz="4" w:space="4" w:color="auto"/>
        <w:bottom w:val="single" w:sz="4" w:space="1" w:color="auto"/>
        <w:right w:val="single" w:sz="4" w:space="4" w:color="auto"/>
      </w:pBdr>
      <w:shd w:val="clear" w:color="auto" w:fill="FFFFFF" w:themeFill="background1"/>
      <w:spacing w:before="0" w:after="480"/>
      <w:jc w:val="center"/>
      <w:outlineLvl w:val="0"/>
    </w:pPr>
    <w:rPr>
      <w:rFonts w:eastAsiaTheme="majorEastAsia" w:cstheme="majorBidi"/>
      <w:b/>
      <w:bCs/>
      <w:sz w:val="28"/>
    </w:rPr>
  </w:style>
  <w:style w:type="paragraph" w:styleId="Heading2">
    <w:name w:val="heading 2"/>
    <w:basedOn w:val="Heading1"/>
    <w:next w:val="BodyText"/>
    <w:link w:val="Heading2Char"/>
    <w:uiPriority w:val="9"/>
    <w:unhideWhenUsed/>
    <w:qFormat/>
    <w:rsid w:val="00FC6DA2"/>
    <w:pPr>
      <w:pBdr>
        <w:top w:val="none" w:sz="0" w:space="0" w:color="auto"/>
        <w:left w:val="none" w:sz="0" w:space="0" w:color="auto"/>
        <w:bottom w:val="none" w:sz="0" w:space="0" w:color="auto"/>
        <w:right w:val="none" w:sz="0" w:space="0" w:color="auto"/>
      </w:pBdr>
      <w:shd w:val="clear" w:color="auto" w:fill="DBE5F1" w:themeFill="accent1" w:themeFillTint="33"/>
      <w:spacing w:before="240" w:after="240"/>
      <w:jc w:val="left"/>
      <w:outlineLvl w:val="1"/>
    </w:pPr>
    <w:rPr>
      <w:b w:val="0"/>
      <w:bCs w:val="0"/>
      <w:szCs w:val="26"/>
    </w:rPr>
  </w:style>
  <w:style w:type="paragraph" w:styleId="Heading3">
    <w:name w:val="heading 3"/>
    <w:basedOn w:val="Heading2"/>
    <w:next w:val="BodyText"/>
    <w:link w:val="Heading3Char"/>
    <w:uiPriority w:val="9"/>
    <w:unhideWhenUsed/>
    <w:qFormat/>
    <w:rsid w:val="00FC6DA2"/>
    <w:pPr>
      <w:outlineLvl w:val="2"/>
    </w:pPr>
    <w:rPr>
      <w:bCs/>
      <w:i/>
      <w:sz w:val="24"/>
    </w:rPr>
  </w:style>
  <w:style w:type="paragraph" w:styleId="Heading4">
    <w:name w:val="heading 4"/>
    <w:basedOn w:val="Heading3"/>
    <w:next w:val="Normal"/>
    <w:link w:val="Heading4Char"/>
    <w:uiPriority w:val="9"/>
    <w:unhideWhenUsed/>
    <w:rsid w:val="00D66B1F"/>
    <w:pPr>
      <w:shd w:val="clear" w:color="auto" w:fill="FFFFFF" w:themeFill="background1"/>
      <w:ind w:left="360"/>
      <w:outlineLvl w:val="3"/>
    </w:pPr>
    <w:rPr>
      <w:bCs w:val="0"/>
      <w:i w:val="0"/>
      <w:iCs/>
      <w:u w:val="single"/>
    </w:rPr>
  </w:style>
  <w:style w:type="paragraph" w:styleId="Heading6">
    <w:name w:val="heading 6"/>
    <w:basedOn w:val="Normal"/>
    <w:next w:val="Normal"/>
    <w:link w:val="Heading6Char"/>
    <w:uiPriority w:val="9"/>
    <w:unhideWhenUsed/>
    <w:qFormat/>
    <w:rsid w:val="00DF35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F35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F355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nBodyofDocument">
    <w:name w:val="Title in Body of Document"/>
    <w:basedOn w:val="Subtitle"/>
    <w:qFormat/>
    <w:rsid w:val="004F78E6"/>
    <w:pPr>
      <w:spacing w:before="0" w:after="480"/>
    </w:pPr>
    <w:rPr>
      <w:sz w:val="28"/>
    </w:rPr>
  </w:style>
  <w:style w:type="paragraph" w:customStyle="1" w:styleId="Bodytextbeforetable">
    <w:name w:val="Body text before table"/>
    <w:basedOn w:val="BodyText"/>
    <w:qFormat/>
    <w:rsid w:val="00F2539D"/>
    <w:pPr>
      <w:spacing w:after="240"/>
    </w:pPr>
  </w:style>
  <w:style w:type="paragraph" w:styleId="NormalWeb">
    <w:name w:val="Normal (Web)"/>
    <w:basedOn w:val="Normal"/>
    <w:uiPriority w:val="99"/>
    <w:unhideWhenUsed/>
    <w:rsid w:val="00696E13"/>
    <w:pPr>
      <w:spacing w:before="100" w:beforeAutospacing="1" w:after="100" w:afterAutospacing="1"/>
    </w:pPr>
    <w:rPr>
      <w:rFonts w:ascii="Times New Roman" w:hAnsi="Times New Roman"/>
    </w:rPr>
  </w:style>
  <w:style w:type="paragraph" w:styleId="Footer">
    <w:name w:val="footer"/>
    <w:basedOn w:val="BodyText"/>
    <w:link w:val="FooterChar"/>
    <w:uiPriority w:val="99"/>
    <w:unhideWhenUsed/>
    <w:rsid w:val="00722857"/>
    <w:pPr>
      <w:tabs>
        <w:tab w:val="center" w:pos="4680"/>
        <w:tab w:val="right" w:pos="9360"/>
      </w:tabs>
    </w:pPr>
    <w:rPr>
      <w:b/>
      <w:sz w:val="20"/>
    </w:rPr>
  </w:style>
  <w:style w:type="character" w:customStyle="1" w:styleId="FooterChar">
    <w:name w:val="Footer Char"/>
    <w:basedOn w:val="DefaultParagraphFont"/>
    <w:link w:val="Footer"/>
    <w:uiPriority w:val="99"/>
    <w:rsid w:val="00722857"/>
    <w:rPr>
      <w:rFonts w:ascii="Arial" w:eastAsia="Calibri" w:hAnsi="Arial" w:cs="Times New Roman"/>
      <w:b/>
      <w:sz w:val="20"/>
      <w:szCs w:val="28"/>
    </w:rPr>
  </w:style>
  <w:style w:type="paragraph" w:styleId="Title">
    <w:name w:val="Title"/>
    <w:basedOn w:val="BodyText"/>
    <w:link w:val="TitleChar"/>
    <w:uiPriority w:val="10"/>
    <w:qFormat/>
    <w:rsid w:val="00727732"/>
    <w:pPr>
      <w:spacing w:before="360" w:after="600"/>
      <w:jc w:val="center"/>
      <w:outlineLvl w:val="0"/>
    </w:pPr>
    <w:rPr>
      <w:b/>
      <w:bCs/>
      <w:color w:val="000099"/>
      <w:kern w:val="28"/>
      <w:sz w:val="52"/>
      <w:szCs w:val="32"/>
    </w:rPr>
  </w:style>
  <w:style w:type="character" w:customStyle="1" w:styleId="TitleChar">
    <w:name w:val="Title Char"/>
    <w:basedOn w:val="DefaultParagraphFont"/>
    <w:link w:val="Title"/>
    <w:uiPriority w:val="10"/>
    <w:rsid w:val="00727732"/>
    <w:rPr>
      <w:rFonts w:ascii="Arial" w:eastAsia="Calibri" w:hAnsi="Arial" w:cs="Times New Roman"/>
      <w:b/>
      <w:bCs/>
      <w:color w:val="000099"/>
      <w:kern w:val="28"/>
      <w:sz w:val="52"/>
      <w:szCs w:val="32"/>
    </w:rPr>
  </w:style>
  <w:style w:type="paragraph" w:customStyle="1" w:styleId="Subtitle2">
    <w:name w:val="Subtitle2"/>
    <w:basedOn w:val="Subtitle"/>
    <w:qFormat/>
    <w:rsid w:val="00443A2E"/>
    <w:pPr>
      <w:spacing w:before="0"/>
      <w:contextualSpacing/>
    </w:pPr>
  </w:style>
  <w:style w:type="paragraph" w:customStyle="1" w:styleId="Tabletext">
    <w:name w:val="Table text"/>
    <w:basedOn w:val="BodyText"/>
    <w:qFormat/>
    <w:rsid w:val="00EE5432"/>
    <w:pPr>
      <w:spacing w:before="20" w:after="20"/>
    </w:pPr>
  </w:style>
  <w:style w:type="paragraph" w:styleId="BodyText">
    <w:name w:val="Body Text"/>
    <w:basedOn w:val="Normal"/>
    <w:link w:val="BodyTextChar"/>
    <w:rsid w:val="00C24D1B"/>
    <w:pPr>
      <w:spacing w:before="240"/>
    </w:pPr>
    <w:rPr>
      <w:rFonts w:ascii="Arial" w:eastAsia="Calibri" w:hAnsi="Arial"/>
      <w:szCs w:val="28"/>
      <w:lang w:bidi="ar-SA"/>
    </w:rPr>
  </w:style>
  <w:style w:type="character" w:customStyle="1" w:styleId="BodyTextChar">
    <w:name w:val="Body Text Char"/>
    <w:basedOn w:val="DefaultParagraphFont"/>
    <w:link w:val="BodyText"/>
    <w:rsid w:val="00C24D1B"/>
    <w:rPr>
      <w:rFonts w:ascii="Arial" w:eastAsia="Calibri" w:hAnsi="Arial" w:cs="Times New Roman"/>
      <w:sz w:val="24"/>
      <w:szCs w:val="28"/>
    </w:rPr>
  </w:style>
  <w:style w:type="character" w:styleId="CommentReference">
    <w:name w:val="annotation reference"/>
    <w:rsid w:val="00696E13"/>
    <w:rPr>
      <w:sz w:val="16"/>
      <w:szCs w:val="16"/>
    </w:rPr>
  </w:style>
  <w:style w:type="paragraph" w:styleId="CommentText">
    <w:name w:val="annotation text"/>
    <w:basedOn w:val="Normal"/>
    <w:link w:val="CommentTextChar"/>
    <w:rsid w:val="00696E13"/>
    <w:rPr>
      <w:sz w:val="20"/>
      <w:szCs w:val="20"/>
    </w:rPr>
  </w:style>
  <w:style w:type="character" w:customStyle="1" w:styleId="CommentTextChar">
    <w:name w:val="Comment Text Char"/>
    <w:basedOn w:val="DefaultParagraphFont"/>
    <w:link w:val="CommentText"/>
    <w:rsid w:val="00696E13"/>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8E6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3C"/>
    <w:rPr>
      <w:rFonts w:ascii="Segoe UI" w:eastAsia="Times New Roman" w:hAnsi="Segoe UI" w:cs="Segoe UI"/>
      <w:sz w:val="18"/>
      <w:szCs w:val="18"/>
      <w:lang w:bidi="en-US"/>
    </w:rPr>
  </w:style>
  <w:style w:type="paragraph" w:styleId="ListParagraph">
    <w:name w:val="List Paragraph"/>
    <w:basedOn w:val="Normal"/>
    <w:uiPriority w:val="34"/>
    <w:qFormat/>
    <w:rsid w:val="00874C7F"/>
    <w:pPr>
      <w:ind w:left="720"/>
      <w:contextualSpacing/>
    </w:pPr>
  </w:style>
  <w:style w:type="paragraph" w:styleId="Header">
    <w:name w:val="header"/>
    <w:basedOn w:val="Normal"/>
    <w:link w:val="HeaderChar"/>
    <w:uiPriority w:val="99"/>
    <w:unhideWhenUsed/>
    <w:rsid w:val="00673CE2"/>
    <w:pPr>
      <w:tabs>
        <w:tab w:val="center" w:pos="4680"/>
        <w:tab w:val="right" w:pos="9360"/>
      </w:tabs>
    </w:pPr>
  </w:style>
  <w:style w:type="character" w:customStyle="1" w:styleId="HeaderChar">
    <w:name w:val="Header Char"/>
    <w:basedOn w:val="DefaultParagraphFont"/>
    <w:link w:val="Header"/>
    <w:uiPriority w:val="99"/>
    <w:rsid w:val="00673CE2"/>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42858"/>
    <w:rPr>
      <w:color w:val="0000FF" w:themeColor="hyperlink"/>
      <w:u w:val="single"/>
    </w:rPr>
  </w:style>
  <w:style w:type="paragraph" w:styleId="Subtitle">
    <w:name w:val="Subtitle"/>
    <w:basedOn w:val="BodyText"/>
    <w:link w:val="SubtitleChar"/>
    <w:uiPriority w:val="11"/>
    <w:qFormat/>
    <w:rsid w:val="008C3C7B"/>
    <w:pPr>
      <w:numPr>
        <w:ilvl w:val="1"/>
      </w:numPr>
      <w:spacing w:before="1560" w:after="100" w:afterAutospacing="1"/>
      <w:jc w:val="center"/>
    </w:pPr>
    <w:rPr>
      <w:rFonts w:eastAsiaTheme="majorEastAsia" w:cstheme="majorBidi"/>
      <w:b/>
      <w:iCs/>
      <w:color w:val="000099"/>
      <w:spacing w:val="15"/>
      <w:sz w:val="32"/>
    </w:rPr>
  </w:style>
  <w:style w:type="character" w:customStyle="1" w:styleId="SubtitleChar">
    <w:name w:val="Subtitle Char"/>
    <w:basedOn w:val="DefaultParagraphFont"/>
    <w:link w:val="Subtitle"/>
    <w:uiPriority w:val="11"/>
    <w:rsid w:val="008C3C7B"/>
    <w:rPr>
      <w:rFonts w:ascii="Arial" w:eastAsiaTheme="majorEastAsia" w:hAnsi="Arial" w:cstheme="majorBidi"/>
      <w:b/>
      <w:iCs/>
      <w:color w:val="000099"/>
      <w:spacing w:val="15"/>
      <w:sz w:val="32"/>
      <w:szCs w:val="28"/>
    </w:rPr>
  </w:style>
  <w:style w:type="character" w:customStyle="1" w:styleId="EmphasisBold">
    <w:name w:val="Emphasis Bold"/>
    <w:basedOn w:val="DefaultParagraphFont"/>
    <w:uiPriority w:val="1"/>
    <w:qFormat/>
    <w:rsid w:val="0051067B"/>
    <w:rPr>
      <w:b/>
    </w:rPr>
  </w:style>
  <w:style w:type="paragraph" w:styleId="ListBullet">
    <w:name w:val="List Bullet"/>
    <w:basedOn w:val="BodyText"/>
    <w:uiPriority w:val="99"/>
    <w:unhideWhenUsed/>
    <w:rsid w:val="001016BB"/>
    <w:pPr>
      <w:numPr>
        <w:numId w:val="16"/>
      </w:numPr>
      <w:spacing w:before="120"/>
    </w:pPr>
  </w:style>
  <w:style w:type="paragraph" w:styleId="ListNumber">
    <w:name w:val="List Number"/>
    <w:basedOn w:val="BodyText"/>
    <w:uiPriority w:val="99"/>
    <w:unhideWhenUsed/>
    <w:rsid w:val="006A1003"/>
    <w:pPr>
      <w:numPr>
        <w:numId w:val="11"/>
      </w:numPr>
    </w:pPr>
  </w:style>
  <w:style w:type="character" w:customStyle="1" w:styleId="EmphasisUnderline">
    <w:name w:val="Emphasis Underline"/>
    <w:basedOn w:val="DefaultParagraphFont"/>
    <w:uiPriority w:val="1"/>
    <w:qFormat/>
    <w:rsid w:val="000C277D"/>
    <w:rPr>
      <w:u w:val="single"/>
    </w:rPr>
  </w:style>
  <w:style w:type="paragraph" w:styleId="ListNumber2">
    <w:name w:val="List Number 2"/>
    <w:basedOn w:val="ListNumber"/>
    <w:uiPriority w:val="99"/>
    <w:unhideWhenUsed/>
    <w:rsid w:val="00E52217"/>
    <w:pPr>
      <w:numPr>
        <w:ilvl w:val="1"/>
      </w:numPr>
      <w:contextualSpacing/>
    </w:pPr>
  </w:style>
  <w:style w:type="table" w:styleId="TableGrid">
    <w:name w:val="Table Grid"/>
    <w:basedOn w:val="TableNormal"/>
    <w:uiPriority w:val="59"/>
    <w:rsid w:val="000C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BodyText2Char"/>
    <w:uiPriority w:val="9"/>
    <w:rsid w:val="00DF3557"/>
    <w:rPr>
      <w:rFonts w:ascii="Arial" w:eastAsiaTheme="majorEastAsia" w:hAnsi="Arial" w:cstheme="majorBidi"/>
      <w:b/>
      <w:bCs/>
      <w:i/>
      <w:color w:val="000000" w:themeColor="text1"/>
      <w:sz w:val="26"/>
      <w:szCs w:val="26"/>
    </w:rPr>
  </w:style>
  <w:style w:type="character" w:customStyle="1" w:styleId="BodyText2Char">
    <w:name w:val="Body Text 2 Char"/>
    <w:basedOn w:val="DefaultParagraphFont"/>
    <w:link w:val="Heading2Char1"/>
    <w:uiPriority w:val="99"/>
    <w:rsid w:val="00DC10D1"/>
    <w:rPr>
      <w:rFonts w:ascii="Arial" w:eastAsia="Calibri" w:hAnsi="Arial" w:cs="Times New Roman"/>
      <w:sz w:val="24"/>
      <w:szCs w:val="28"/>
    </w:rPr>
  </w:style>
  <w:style w:type="paragraph" w:styleId="BodyText2">
    <w:name w:val="Body Text 2"/>
    <w:basedOn w:val="BodyText"/>
    <w:link w:val="BodyText2Char1"/>
    <w:uiPriority w:val="99"/>
    <w:unhideWhenUsed/>
    <w:rsid w:val="006A1003"/>
    <w:pPr>
      <w:ind w:left="360"/>
    </w:pPr>
  </w:style>
  <w:style w:type="paragraph" w:styleId="ListNumber3">
    <w:name w:val="List Number 3"/>
    <w:basedOn w:val="BodyText"/>
    <w:uiPriority w:val="99"/>
    <w:unhideWhenUsed/>
    <w:rsid w:val="000F5CE7"/>
    <w:pPr>
      <w:numPr>
        <w:numId w:val="1"/>
      </w:numPr>
    </w:pPr>
  </w:style>
  <w:style w:type="character" w:customStyle="1" w:styleId="Emphasisboldunderline">
    <w:name w:val="Emphasis bold underline"/>
    <w:basedOn w:val="DefaultParagraphFont"/>
    <w:uiPriority w:val="1"/>
    <w:qFormat/>
    <w:rsid w:val="0082731A"/>
    <w:rPr>
      <w:b/>
      <w:i w:val="0"/>
      <w:u w:val="single"/>
    </w:rPr>
  </w:style>
  <w:style w:type="character" w:styleId="PlaceholderText">
    <w:name w:val="Placeholder Text"/>
    <w:basedOn w:val="DefaultParagraphFont"/>
    <w:uiPriority w:val="99"/>
    <w:semiHidden/>
    <w:rsid w:val="00585469"/>
    <w:rPr>
      <w:color w:val="808080"/>
    </w:rPr>
  </w:style>
  <w:style w:type="paragraph" w:styleId="Signature">
    <w:name w:val="Signature"/>
    <w:basedOn w:val="Normal"/>
    <w:link w:val="SignatureChar"/>
    <w:uiPriority w:val="99"/>
    <w:unhideWhenUsed/>
    <w:rsid w:val="00585469"/>
    <w:pPr>
      <w:ind w:left="4320"/>
    </w:pPr>
  </w:style>
  <w:style w:type="character" w:customStyle="1" w:styleId="SignatureChar">
    <w:name w:val="Signature Char"/>
    <w:basedOn w:val="DefaultParagraphFont"/>
    <w:link w:val="Signature"/>
    <w:uiPriority w:val="99"/>
    <w:rsid w:val="00585469"/>
    <w:rPr>
      <w:rFonts w:ascii="Calibri" w:eastAsia="Times New Roman" w:hAnsi="Calibri" w:cs="Times New Roman"/>
      <w:sz w:val="24"/>
      <w:szCs w:val="24"/>
      <w:lang w:bidi="en-US"/>
    </w:rPr>
  </w:style>
  <w:style w:type="paragraph" w:customStyle="1" w:styleId="Bodytexttiny">
    <w:name w:val="Body text tiny"/>
    <w:basedOn w:val="BodyText"/>
    <w:qFormat/>
    <w:rsid w:val="00FC6DA2"/>
    <w:pPr>
      <w:spacing w:before="0"/>
    </w:pPr>
    <w:rPr>
      <w:sz w:val="16"/>
    </w:rPr>
  </w:style>
  <w:style w:type="paragraph" w:styleId="CommentSubject">
    <w:name w:val="annotation subject"/>
    <w:basedOn w:val="CommentText"/>
    <w:next w:val="CommentText"/>
    <w:link w:val="CommentSubjectChar"/>
    <w:uiPriority w:val="99"/>
    <w:semiHidden/>
    <w:unhideWhenUsed/>
    <w:rsid w:val="009A0784"/>
    <w:rPr>
      <w:b/>
      <w:bCs/>
    </w:rPr>
  </w:style>
  <w:style w:type="character" w:customStyle="1" w:styleId="CommentSubjectChar">
    <w:name w:val="Comment Subject Char"/>
    <w:basedOn w:val="CommentTextChar"/>
    <w:link w:val="CommentSubject"/>
    <w:uiPriority w:val="99"/>
    <w:semiHidden/>
    <w:rsid w:val="009A0784"/>
    <w:rPr>
      <w:rFonts w:ascii="Calibri" w:eastAsia="Times New Roman" w:hAnsi="Calibri" w:cs="Times New Roman"/>
      <w:b/>
      <w:bCs/>
      <w:sz w:val="20"/>
      <w:szCs w:val="20"/>
      <w:lang w:bidi="en-US"/>
    </w:rPr>
  </w:style>
  <w:style w:type="paragraph" w:styleId="TOCHeading">
    <w:name w:val="TOC Heading"/>
    <w:basedOn w:val="BodyText"/>
    <w:next w:val="Normal"/>
    <w:uiPriority w:val="39"/>
    <w:unhideWhenUsed/>
    <w:qFormat/>
    <w:rsid w:val="008E6C3C"/>
    <w:pPr>
      <w:keepLines/>
      <w:pBdr>
        <w:top w:val="single" w:sz="4" w:space="1" w:color="auto"/>
        <w:left w:val="single" w:sz="4" w:space="4" w:color="auto"/>
        <w:bottom w:val="single" w:sz="4" w:space="1" w:color="auto"/>
        <w:right w:val="single" w:sz="4" w:space="4" w:color="auto"/>
      </w:pBdr>
      <w:spacing w:before="0" w:after="360"/>
      <w:jc w:val="center"/>
    </w:pPr>
    <w:rPr>
      <w:rFonts w:eastAsiaTheme="majorEastAsia" w:cstheme="majorBidi"/>
      <w:b/>
      <w:sz w:val="28"/>
      <w:lang w:eastAsia="ja-JP"/>
    </w:rPr>
  </w:style>
  <w:style w:type="paragraph" w:styleId="TOC1">
    <w:name w:val="toc 1"/>
    <w:basedOn w:val="BodyText"/>
    <w:autoRedefine/>
    <w:uiPriority w:val="39"/>
    <w:unhideWhenUsed/>
    <w:qFormat/>
    <w:rsid w:val="00F22053"/>
    <w:pPr>
      <w:tabs>
        <w:tab w:val="right" w:leader="dot" w:pos="9350"/>
      </w:tabs>
      <w:spacing w:before="120"/>
    </w:pPr>
  </w:style>
  <w:style w:type="paragraph" w:styleId="TOC2">
    <w:name w:val="toc 2"/>
    <w:basedOn w:val="BodyText"/>
    <w:next w:val="Normal"/>
    <w:autoRedefine/>
    <w:uiPriority w:val="39"/>
    <w:unhideWhenUsed/>
    <w:qFormat/>
    <w:rsid w:val="00865B69"/>
    <w:pPr>
      <w:tabs>
        <w:tab w:val="right" w:leader="dot" w:pos="9350"/>
      </w:tabs>
      <w:spacing w:before="0"/>
      <w:ind w:left="245"/>
    </w:pPr>
  </w:style>
  <w:style w:type="paragraph" w:styleId="TOC3">
    <w:name w:val="toc 3"/>
    <w:basedOn w:val="BodyText"/>
    <w:next w:val="Normal"/>
    <w:autoRedefine/>
    <w:uiPriority w:val="39"/>
    <w:unhideWhenUsed/>
    <w:qFormat/>
    <w:rsid w:val="000343A9"/>
    <w:pPr>
      <w:tabs>
        <w:tab w:val="right" w:leader="dot" w:pos="9350"/>
      </w:tabs>
      <w:spacing w:before="0"/>
      <w:ind w:left="475"/>
    </w:pPr>
  </w:style>
  <w:style w:type="character" w:customStyle="1" w:styleId="EmphasisItalicBold">
    <w:name w:val="Emphasis Italic Bold"/>
    <w:basedOn w:val="DefaultParagraphFont"/>
    <w:uiPriority w:val="1"/>
    <w:qFormat/>
    <w:rsid w:val="004D541D"/>
    <w:rPr>
      <w:b/>
      <w:i/>
    </w:rPr>
  </w:style>
  <w:style w:type="paragraph" w:customStyle="1" w:styleId="copyright">
    <w:name w:val="copyright"/>
    <w:basedOn w:val="BodyText"/>
    <w:qFormat/>
    <w:rsid w:val="00952C26"/>
    <w:pPr>
      <w:spacing w:after="1800"/>
      <w:contextualSpacing/>
    </w:pPr>
    <w:rPr>
      <w:rFonts w:eastAsiaTheme="minorHAnsi" w:cstheme="minorBidi"/>
      <w:szCs w:val="22"/>
    </w:rPr>
  </w:style>
  <w:style w:type="paragraph" w:customStyle="1" w:styleId="Heading2special">
    <w:name w:val="Heading 2 special"/>
    <w:basedOn w:val="Heading2"/>
    <w:qFormat/>
    <w:rsid w:val="00FC6DA2"/>
    <w:pPr>
      <w:spacing w:after="0"/>
    </w:pPr>
  </w:style>
  <w:style w:type="character" w:customStyle="1" w:styleId="BodyText2Char1">
    <w:name w:val="Body Text 2 Char1"/>
    <w:basedOn w:val="DefaultParagraphFont"/>
    <w:link w:val="BodyText2"/>
    <w:uiPriority w:val="99"/>
    <w:rsid w:val="006A1003"/>
    <w:rPr>
      <w:rFonts w:ascii="Arial" w:eastAsia="Calibri" w:hAnsi="Arial" w:cs="Times New Roman"/>
      <w:sz w:val="24"/>
      <w:szCs w:val="28"/>
    </w:rPr>
  </w:style>
  <w:style w:type="paragraph" w:styleId="Revision">
    <w:name w:val="Revision"/>
    <w:hidden/>
    <w:uiPriority w:val="99"/>
    <w:semiHidden/>
    <w:rsid w:val="00FB579F"/>
    <w:rPr>
      <w:rFonts w:ascii="Calibri" w:eastAsia="Times New Roman" w:hAnsi="Calibri" w:cs="Times New Roman"/>
      <w:sz w:val="24"/>
      <w:szCs w:val="24"/>
      <w:lang w:bidi="en-US"/>
    </w:rPr>
  </w:style>
  <w:style w:type="paragraph" w:customStyle="1" w:styleId="Default">
    <w:name w:val="Default"/>
    <w:rsid w:val="00F762B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FC6DA2"/>
    <w:rPr>
      <w:rFonts w:ascii="Arial" w:eastAsiaTheme="majorEastAsia" w:hAnsi="Arial" w:cstheme="majorBidi"/>
      <w:sz w:val="28"/>
      <w:szCs w:val="26"/>
      <w:shd w:val="clear" w:color="auto" w:fill="DBE5F1" w:themeFill="accent1" w:themeFillTint="33"/>
    </w:rPr>
  </w:style>
  <w:style w:type="character" w:styleId="FootnoteReference">
    <w:name w:val="footnote reference"/>
    <w:basedOn w:val="DefaultParagraphFont"/>
    <w:uiPriority w:val="99"/>
    <w:unhideWhenUsed/>
    <w:rsid w:val="0077191C"/>
    <w:rPr>
      <w:vertAlign w:val="superscript"/>
    </w:rPr>
  </w:style>
  <w:style w:type="paragraph" w:styleId="ListBullet2">
    <w:name w:val="List Bullet 2"/>
    <w:basedOn w:val="ListBullet"/>
    <w:uiPriority w:val="99"/>
    <w:unhideWhenUsed/>
    <w:qFormat/>
    <w:rsid w:val="007823A2"/>
    <w:pPr>
      <w:numPr>
        <w:numId w:val="39"/>
      </w:numPr>
      <w:tabs>
        <w:tab w:val="left" w:pos="864"/>
      </w:tabs>
      <w:spacing w:before="0"/>
    </w:pPr>
  </w:style>
  <w:style w:type="character" w:customStyle="1" w:styleId="Heading1Char">
    <w:name w:val="Heading 1 Char"/>
    <w:basedOn w:val="DefaultParagraphFont"/>
    <w:link w:val="Heading1"/>
    <w:uiPriority w:val="9"/>
    <w:rsid w:val="00443A2E"/>
    <w:rPr>
      <w:rFonts w:ascii="Arial" w:eastAsiaTheme="majorEastAsia" w:hAnsi="Arial" w:cstheme="majorBidi"/>
      <w:b/>
      <w:bCs/>
      <w:sz w:val="28"/>
      <w:szCs w:val="28"/>
      <w:shd w:val="clear" w:color="auto" w:fill="FFFFFF" w:themeFill="background1"/>
    </w:rPr>
  </w:style>
  <w:style w:type="paragraph" w:customStyle="1" w:styleId="HeadingTableofContents">
    <w:name w:val="Heading Table of Contents"/>
    <w:basedOn w:val="BodyText"/>
    <w:qFormat/>
    <w:rsid w:val="000F0EE7"/>
    <w:pPr>
      <w:spacing w:before="120" w:after="240"/>
      <w:jc w:val="center"/>
    </w:pPr>
    <w:rPr>
      <w:b/>
    </w:rPr>
  </w:style>
  <w:style w:type="character" w:styleId="FollowedHyperlink">
    <w:name w:val="FollowedHyperlink"/>
    <w:basedOn w:val="DefaultParagraphFont"/>
    <w:uiPriority w:val="99"/>
    <w:semiHidden/>
    <w:unhideWhenUsed/>
    <w:rsid w:val="00CA51CB"/>
    <w:rPr>
      <w:color w:val="800080" w:themeColor="followedHyperlink"/>
      <w:u w:val="single"/>
    </w:rPr>
  </w:style>
  <w:style w:type="paragraph" w:styleId="FootnoteText">
    <w:name w:val="footnote text"/>
    <w:basedOn w:val="BodyText"/>
    <w:link w:val="FootnoteTextChar"/>
    <w:uiPriority w:val="99"/>
    <w:unhideWhenUsed/>
    <w:rsid w:val="00423CDC"/>
    <w:pPr>
      <w:spacing w:before="0"/>
    </w:pPr>
    <w:rPr>
      <w:sz w:val="20"/>
      <w:szCs w:val="20"/>
    </w:rPr>
  </w:style>
  <w:style w:type="character" w:customStyle="1" w:styleId="FootnoteTextChar">
    <w:name w:val="Footnote Text Char"/>
    <w:basedOn w:val="DefaultParagraphFont"/>
    <w:link w:val="FootnoteText"/>
    <w:uiPriority w:val="99"/>
    <w:rsid w:val="00423CDC"/>
    <w:rPr>
      <w:rFonts w:ascii="Arial" w:eastAsia="Calibri" w:hAnsi="Arial" w:cs="Times New Roman"/>
      <w:sz w:val="20"/>
      <w:szCs w:val="20"/>
    </w:rPr>
  </w:style>
  <w:style w:type="character" w:customStyle="1" w:styleId="Heading3Char">
    <w:name w:val="Heading 3 Char"/>
    <w:basedOn w:val="DefaultParagraphFont"/>
    <w:link w:val="Heading3"/>
    <w:uiPriority w:val="9"/>
    <w:rsid w:val="00FC6DA2"/>
    <w:rPr>
      <w:rFonts w:ascii="Arial" w:eastAsiaTheme="majorEastAsia" w:hAnsi="Arial" w:cstheme="majorBidi"/>
      <w:bCs/>
      <w:i/>
      <w:sz w:val="24"/>
      <w:szCs w:val="26"/>
      <w:shd w:val="clear" w:color="auto" w:fill="DBE5F1" w:themeFill="accent1" w:themeFillTint="33"/>
    </w:rPr>
  </w:style>
  <w:style w:type="character" w:customStyle="1" w:styleId="Heading4Char">
    <w:name w:val="Heading 4 Char"/>
    <w:basedOn w:val="DefaultParagraphFont"/>
    <w:link w:val="Heading4"/>
    <w:uiPriority w:val="9"/>
    <w:rsid w:val="00D66B1F"/>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DF3557"/>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DF3557"/>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DF3557"/>
    <w:rPr>
      <w:rFonts w:asciiTheme="majorHAnsi" w:eastAsiaTheme="majorEastAsia" w:hAnsiTheme="majorHAnsi" w:cstheme="majorBidi"/>
      <w:color w:val="404040" w:themeColor="text1" w:themeTint="BF"/>
      <w:sz w:val="20"/>
      <w:szCs w:val="20"/>
      <w:lang w:bidi="en-US"/>
    </w:rPr>
  </w:style>
  <w:style w:type="paragraph" w:customStyle="1" w:styleId="copyrightbottomofpage">
    <w:name w:val="copyright bottom of page"/>
    <w:basedOn w:val="BodyText"/>
    <w:qFormat/>
    <w:rsid w:val="00C37610"/>
    <w:pPr>
      <w:spacing w:before="2160"/>
    </w:pPr>
  </w:style>
  <w:style w:type="paragraph" w:customStyle="1" w:styleId="copyrightcenterofpage">
    <w:name w:val="copyright center of page"/>
    <w:basedOn w:val="BodyText"/>
    <w:qFormat/>
    <w:rsid w:val="00FC5C4C"/>
    <w:pPr>
      <w:spacing w:before="960"/>
      <w:contextualSpacing/>
    </w:pPr>
  </w:style>
  <w:style w:type="paragraph" w:customStyle="1" w:styleId="Heading3special">
    <w:name w:val="Heading 3 special"/>
    <w:basedOn w:val="Heading3"/>
    <w:qFormat/>
    <w:rsid w:val="00FC6DA2"/>
    <w:pPr>
      <w:spacing w:before="0"/>
    </w:pPr>
  </w:style>
  <w:style w:type="numbering" w:customStyle="1" w:styleId="ILRUBullets">
    <w:name w:val="ILRU_Bullets"/>
    <w:uiPriority w:val="99"/>
    <w:rsid w:val="00592CD0"/>
    <w:pPr>
      <w:numPr>
        <w:numId w:val="9"/>
      </w:numPr>
    </w:pPr>
  </w:style>
  <w:style w:type="numbering" w:customStyle="1" w:styleId="ILRUNumbers">
    <w:name w:val="ILRU_Numbers"/>
    <w:uiPriority w:val="99"/>
    <w:rsid w:val="00E52217"/>
    <w:pPr>
      <w:numPr>
        <w:numId w:val="14"/>
      </w:numPr>
    </w:pPr>
  </w:style>
  <w:style w:type="paragraph" w:styleId="ListBullet3">
    <w:name w:val="List Bullet 3"/>
    <w:basedOn w:val="BodyText"/>
    <w:uiPriority w:val="99"/>
    <w:unhideWhenUsed/>
    <w:rsid w:val="001C5DFC"/>
    <w:pPr>
      <w:numPr>
        <w:numId w:val="38"/>
      </w:numPr>
      <w:contextualSpacing/>
    </w:pPr>
  </w:style>
  <w:style w:type="paragraph" w:styleId="ListBullet4">
    <w:name w:val="List Bullet 4"/>
    <w:basedOn w:val="Normal"/>
    <w:uiPriority w:val="99"/>
    <w:semiHidden/>
    <w:unhideWhenUsed/>
    <w:rsid w:val="00592CD0"/>
    <w:pPr>
      <w:numPr>
        <w:ilvl w:val="3"/>
        <w:numId w:val="16"/>
      </w:numPr>
      <w:contextualSpacing/>
    </w:pPr>
  </w:style>
  <w:style w:type="paragraph" w:styleId="ListBullet5">
    <w:name w:val="List Bullet 5"/>
    <w:basedOn w:val="Normal"/>
    <w:uiPriority w:val="99"/>
    <w:semiHidden/>
    <w:unhideWhenUsed/>
    <w:rsid w:val="00592CD0"/>
    <w:pPr>
      <w:numPr>
        <w:ilvl w:val="4"/>
        <w:numId w:val="16"/>
      </w:numPr>
      <w:contextualSpacing/>
    </w:pPr>
  </w:style>
  <w:style w:type="paragraph" w:styleId="ListNumber4">
    <w:name w:val="List Number 4"/>
    <w:basedOn w:val="BodyText"/>
    <w:uiPriority w:val="99"/>
    <w:unhideWhenUsed/>
    <w:rsid w:val="00B94CCE"/>
    <w:pPr>
      <w:numPr>
        <w:ilvl w:val="3"/>
        <w:numId w:val="11"/>
      </w:numPr>
      <w:spacing w:before="120"/>
      <w:ind w:left="1080"/>
      <w:contextualSpacing/>
    </w:pPr>
  </w:style>
  <w:style w:type="paragraph" w:styleId="ListNumber5">
    <w:name w:val="List Number 5"/>
    <w:basedOn w:val="Normal"/>
    <w:uiPriority w:val="99"/>
    <w:semiHidden/>
    <w:unhideWhenUsed/>
    <w:rsid w:val="00E52217"/>
    <w:pPr>
      <w:numPr>
        <w:ilvl w:val="4"/>
        <w:numId w:val="11"/>
      </w:numPr>
      <w:contextualSpacing/>
    </w:pPr>
  </w:style>
  <w:style w:type="character" w:styleId="IntenseEmphasis">
    <w:name w:val="Intense Emphasis"/>
    <w:basedOn w:val="DefaultParagraphFont"/>
    <w:uiPriority w:val="21"/>
    <w:qFormat/>
    <w:rsid w:val="000343A9"/>
    <w:rPr>
      <w:rFonts w:ascii="Arial" w:hAnsi="Arial"/>
      <w:b w:val="0"/>
      <w:bCs/>
      <w:i w:val="0"/>
      <w:iCs/>
      <w:color w:val="000000" w:themeColor="text1"/>
      <w:sz w:val="24"/>
      <w:u w:val="single"/>
    </w:rPr>
  </w:style>
  <w:style w:type="character" w:styleId="HTMLCite">
    <w:name w:val="HTML Cite"/>
    <w:basedOn w:val="DefaultParagraphFont"/>
    <w:uiPriority w:val="99"/>
    <w:semiHidden/>
    <w:unhideWhenUsed/>
    <w:rsid w:val="00D30D28"/>
    <w:rPr>
      <w:i w:val="0"/>
      <w:iCs w:val="0"/>
      <w:color w:val="009030"/>
    </w:rPr>
  </w:style>
  <w:style w:type="paragraph" w:customStyle="1" w:styleId="Bodytext4">
    <w:name w:val="Body text 4"/>
    <w:basedOn w:val="BodyText2"/>
    <w:rsid w:val="00FC6DA2"/>
    <w:pPr>
      <w:widowControl w:val="0"/>
      <w:spacing w:before="0"/>
      <w:ind w:left="0"/>
    </w:pPr>
    <w:rPr>
      <w:rFonts w:eastAsia="Times New Roman"/>
      <w:szCs w:val="24"/>
    </w:rPr>
  </w:style>
  <w:style w:type="character" w:styleId="Emphasis">
    <w:name w:val="Emphasis"/>
    <w:basedOn w:val="DefaultParagraphFont"/>
    <w:uiPriority w:val="20"/>
    <w:qFormat/>
    <w:rsid w:val="0024455D"/>
    <w:rPr>
      <w:i/>
      <w:iCs/>
    </w:rPr>
  </w:style>
  <w:style w:type="paragraph" w:styleId="TOAHeading">
    <w:name w:val="toa heading"/>
    <w:basedOn w:val="Normal"/>
    <w:next w:val="Normal"/>
    <w:uiPriority w:val="99"/>
    <w:unhideWhenUsed/>
    <w:rsid w:val="008E6C3C"/>
    <w:pPr>
      <w:spacing w:before="120"/>
    </w:pPr>
    <w:rPr>
      <w:rFonts w:asciiTheme="majorHAnsi" w:eastAsiaTheme="majorEastAsia" w:hAnsiTheme="majorHAnsi" w:cstheme="majorBidi"/>
      <w:b/>
      <w:bCs/>
    </w:rPr>
  </w:style>
  <w:style w:type="paragraph" w:customStyle="1" w:styleId="CoverTitle">
    <w:name w:val="Cover Title"/>
    <w:basedOn w:val="BodyText"/>
    <w:qFormat/>
    <w:rsid w:val="00727732"/>
    <w:pPr>
      <w:jc w:val="center"/>
    </w:pPr>
    <w:rPr>
      <w:b/>
      <w:color w:val="000099"/>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7491">
      <w:bodyDiv w:val="1"/>
      <w:marLeft w:val="0"/>
      <w:marRight w:val="0"/>
      <w:marTop w:val="0"/>
      <w:marBottom w:val="0"/>
      <w:divBdr>
        <w:top w:val="none" w:sz="0" w:space="0" w:color="auto"/>
        <w:left w:val="none" w:sz="0" w:space="0" w:color="auto"/>
        <w:bottom w:val="none" w:sz="0" w:space="0" w:color="auto"/>
        <w:right w:val="none" w:sz="0" w:space="0" w:color="auto"/>
      </w:divBdr>
    </w:div>
    <w:div w:id="594022117">
      <w:bodyDiv w:val="1"/>
      <w:marLeft w:val="0"/>
      <w:marRight w:val="0"/>
      <w:marTop w:val="0"/>
      <w:marBottom w:val="0"/>
      <w:divBdr>
        <w:top w:val="none" w:sz="0" w:space="0" w:color="auto"/>
        <w:left w:val="none" w:sz="0" w:space="0" w:color="auto"/>
        <w:bottom w:val="none" w:sz="0" w:space="0" w:color="auto"/>
        <w:right w:val="none" w:sz="0" w:space="0" w:color="auto"/>
      </w:divBdr>
    </w:div>
    <w:div w:id="823395691">
      <w:bodyDiv w:val="1"/>
      <w:marLeft w:val="0"/>
      <w:marRight w:val="0"/>
      <w:marTop w:val="0"/>
      <w:marBottom w:val="0"/>
      <w:divBdr>
        <w:top w:val="none" w:sz="0" w:space="0" w:color="auto"/>
        <w:left w:val="none" w:sz="0" w:space="0" w:color="auto"/>
        <w:bottom w:val="none" w:sz="0" w:space="0" w:color="auto"/>
        <w:right w:val="none" w:sz="0" w:space="0" w:color="auto"/>
      </w:divBdr>
      <w:divsChild>
        <w:div w:id="1253465553">
          <w:marLeft w:val="547"/>
          <w:marRight w:val="0"/>
          <w:marTop w:val="120"/>
          <w:marBottom w:val="0"/>
          <w:divBdr>
            <w:top w:val="none" w:sz="0" w:space="0" w:color="auto"/>
            <w:left w:val="none" w:sz="0" w:space="0" w:color="auto"/>
            <w:bottom w:val="none" w:sz="0" w:space="0" w:color="auto"/>
            <w:right w:val="none" w:sz="0" w:space="0" w:color="auto"/>
          </w:divBdr>
        </w:div>
        <w:div w:id="1235168014">
          <w:marLeft w:val="547"/>
          <w:marRight w:val="0"/>
          <w:marTop w:val="120"/>
          <w:marBottom w:val="0"/>
          <w:divBdr>
            <w:top w:val="none" w:sz="0" w:space="0" w:color="auto"/>
            <w:left w:val="none" w:sz="0" w:space="0" w:color="auto"/>
            <w:bottom w:val="none" w:sz="0" w:space="0" w:color="auto"/>
            <w:right w:val="none" w:sz="0" w:space="0" w:color="auto"/>
          </w:divBdr>
        </w:div>
        <w:div w:id="805662113">
          <w:marLeft w:val="1166"/>
          <w:marRight w:val="0"/>
          <w:marTop w:val="125"/>
          <w:marBottom w:val="0"/>
          <w:divBdr>
            <w:top w:val="none" w:sz="0" w:space="0" w:color="auto"/>
            <w:left w:val="none" w:sz="0" w:space="0" w:color="auto"/>
            <w:bottom w:val="none" w:sz="0" w:space="0" w:color="auto"/>
            <w:right w:val="none" w:sz="0" w:space="0" w:color="auto"/>
          </w:divBdr>
        </w:div>
        <w:div w:id="642079296">
          <w:marLeft w:val="1166"/>
          <w:marRight w:val="0"/>
          <w:marTop w:val="125"/>
          <w:marBottom w:val="0"/>
          <w:divBdr>
            <w:top w:val="none" w:sz="0" w:space="0" w:color="auto"/>
            <w:left w:val="none" w:sz="0" w:space="0" w:color="auto"/>
            <w:bottom w:val="none" w:sz="0" w:space="0" w:color="auto"/>
            <w:right w:val="none" w:sz="0" w:space="0" w:color="auto"/>
          </w:divBdr>
        </w:div>
        <w:div w:id="1430851643">
          <w:marLeft w:val="547"/>
          <w:marRight w:val="0"/>
          <w:marTop w:val="125"/>
          <w:marBottom w:val="0"/>
          <w:divBdr>
            <w:top w:val="none" w:sz="0" w:space="0" w:color="auto"/>
            <w:left w:val="none" w:sz="0" w:space="0" w:color="auto"/>
            <w:bottom w:val="none" w:sz="0" w:space="0" w:color="auto"/>
            <w:right w:val="none" w:sz="0" w:space="0" w:color="auto"/>
          </w:divBdr>
        </w:div>
      </w:divsChild>
    </w:div>
    <w:div w:id="955914580">
      <w:bodyDiv w:val="1"/>
      <w:marLeft w:val="0"/>
      <w:marRight w:val="0"/>
      <w:marTop w:val="0"/>
      <w:marBottom w:val="0"/>
      <w:divBdr>
        <w:top w:val="none" w:sz="0" w:space="0" w:color="auto"/>
        <w:left w:val="none" w:sz="0" w:space="0" w:color="auto"/>
        <w:bottom w:val="none" w:sz="0" w:space="0" w:color="auto"/>
        <w:right w:val="none" w:sz="0" w:space="0" w:color="auto"/>
      </w:divBdr>
    </w:div>
    <w:div w:id="1098599402">
      <w:bodyDiv w:val="1"/>
      <w:marLeft w:val="0"/>
      <w:marRight w:val="0"/>
      <w:marTop w:val="30"/>
      <w:marBottom w:val="750"/>
      <w:divBdr>
        <w:top w:val="none" w:sz="0" w:space="0" w:color="auto"/>
        <w:left w:val="none" w:sz="0" w:space="0" w:color="auto"/>
        <w:bottom w:val="none" w:sz="0" w:space="0" w:color="auto"/>
        <w:right w:val="none" w:sz="0" w:space="0" w:color="auto"/>
      </w:divBdr>
      <w:divsChild>
        <w:div w:id="988442770">
          <w:marLeft w:val="0"/>
          <w:marRight w:val="0"/>
          <w:marTop w:val="0"/>
          <w:marBottom w:val="0"/>
          <w:divBdr>
            <w:top w:val="none" w:sz="0" w:space="0" w:color="auto"/>
            <w:left w:val="none" w:sz="0" w:space="0" w:color="auto"/>
            <w:bottom w:val="none" w:sz="0" w:space="0" w:color="auto"/>
            <w:right w:val="none" w:sz="0" w:space="0" w:color="auto"/>
          </w:divBdr>
        </w:div>
      </w:divsChild>
    </w:div>
    <w:div w:id="1180774601">
      <w:bodyDiv w:val="1"/>
      <w:marLeft w:val="0"/>
      <w:marRight w:val="0"/>
      <w:marTop w:val="0"/>
      <w:marBottom w:val="0"/>
      <w:divBdr>
        <w:top w:val="none" w:sz="0" w:space="0" w:color="auto"/>
        <w:left w:val="none" w:sz="0" w:space="0" w:color="auto"/>
        <w:bottom w:val="none" w:sz="0" w:space="0" w:color="auto"/>
        <w:right w:val="none" w:sz="0" w:space="0" w:color="auto"/>
      </w:divBdr>
    </w:div>
    <w:div w:id="1451702702">
      <w:bodyDiv w:val="1"/>
      <w:marLeft w:val="0"/>
      <w:marRight w:val="0"/>
      <w:marTop w:val="0"/>
      <w:marBottom w:val="0"/>
      <w:divBdr>
        <w:top w:val="none" w:sz="0" w:space="0" w:color="auto"/>
        <w:left w:val="none" w:sz="0" w:space="0" w:color="auto"/>
        <w:bottom w:val="none" w:sz="0" w:space="0" w:color="auto"/>
        <w:right w:val="none" w:sz="0" w:space="0" w:color="auto"/>
      </w:divBdr>
      <w:divsChild>
        <w:div w:id="171726753">
          <w:marLeft w:val="225"/>
          <w:marRight w:val="225"/>
          <w:marTop w:val="375"/>
          <w:marBottom w:val="100"/>
          <w:divBdr>
            <w:top w:val="none" w:sz="0" w:space="0" w:color="auto"/>
            <w:left w:val="none" w:sz="0" w:space="0" w:color="auto"/>
            <w:bottom w:val="none" w:sz="0" w:space="0" w:color="auto"/>
            <w:right w:val="none" w:sz="0" w:space="0" w:color="auto"/>
          </w:divBdr>
          <w:divsChild>
            <w:div w:id="1690335241">
              <w:marLeft w:val="150"/>
              <w:marRight w:val="150"/>
              <w:marTop w:val="0"/>
              <w:marBottom w:val="0"/>
              <w:divBdr>
                <w:top w:val="none" w:sz="0" w:space="0" w:color="auto"/>
                <w:left w:val="none" w:sz="0" w:space="0" w:color="auto"/>
                <w:bottom w:val="none" w:sz="0" w:space="0" w:color="auto"/>
                <w:right w:val="none" w:sz="0" w:space="0" w:color="auto"/>
              </w:divBdr>
              <w:divsChild>
                <w:div w:id="819007608">
                  <w:marLeft w:val="0"/>
                  <w:marRight w:val="0"/>
                  <w:marTop w:val="0"/>
                  <w:marBottom w:val="0"/>
                  <w:divBdr>
                    <w:top w:val="single" w:sz="6" w:space="0" w:color="999999"/>
                    <w:left w:val="single" w:sz="6" w:space="0" w:color="CCCCCC"/>
                    <w:bottom w:val="single" w:sz="6" w:space="0" w:color="CCCCCC"/>
                    <w:right w:val="single" w:sz="6" w:space="0" w:color="999999"/>
                  </w:divBdr>
                  <w:divsChild>
                    <w:div w:id="2069955572">
                      <w:marLeft w:val="0"/>
                      <w:marRight w:val="0"/>
                      <w:marTop w:val="0"/>
                      <w:marBottom w:val="0"/>
                      <w:divBdr>
                        <w:top w:val="none" w:sz="0" w:space="0" w:color="auto"/>
                        <w:left w:val="none" w:sz="0" w:space="0" w:color="auto"/>
                        <w:bottom w:val="none" w:sz="0" w:space="0" w:color="auto"/>
                        <w:right w:val="none" w:sz="0" w:space="0" w:color="auto"/>
                      </w:divBdr>
                      <w:divsChild>
                        <w:div w:id="299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61169">
      <w:bodyDiv w:val="1"/>
      <w:marLeft w:val="0"/>
      <w:marRight w:val="0"/>
      <w:marTop w:val="0"/>
      <w:marBottom w:val="0"/>
      <w:divBdr>
        <w:top w:val="none" w:sz="0" w:space="0" w:color="auto"/>
        <w:left w:val="none" w:sz="0" w:space="0" w:color="auto"/>
        <w:bottom w:val="none" w:sz="0" w:space="0" w:color="auto"/>
        <w:right w:val="none" w:sz="0" w:space="0" w:color="auto"/>
      </w:divBdr>
    </w:div>
    <w:div w:id="1931306105">
      <w:bodyDiv w:val="1"/>
      <w:marLeft w:val="0"/>
      <w:marRight w:val="0"/>
      <w:marTop w:val="30"/>
      <w:marBottom w:val="750"/>
      <w:divBdr>
        <w:top w:val="none" w:sz="0" w:space="0" w:color="auto"/>
        <w:left w:val="none" w:sz="0" w:space="0" w:color="auto"/>
        <w:bottom w:val="none" w:sz="0" w:space="0" w:color="auto"/>
        <w:right w:val="none" w:sz="0" w:space="0" w:color="auto"/>
      </w:divBdr>
      <w:divsChild>
        <w:div w:id="256136926">
          <w:marLeft w:val="0"/>
          <w:marRight w:val="0"/>
          <w:marTop w:val="0"/>
          <w:marBottom w:val="0"/>
          <w:divBdr>
            <w:top w:val="none" w:sz="0" w:space="0" w:color="auto"/>
            <w:left w:val="none" w:sz="0" w:space="0" w:color="auto"/>
            <w:bottom w:val="none" w:sz="0" w:space="0" w:color="auto"/>
            <w:right w:val="none" w:sz="0" w:space="0" w:color="auto"/>
          </w:divBdr>
        </w:div>
      </w:divsChild>
    </w:div>
    <w:div w:id="19601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yperlink" Target="http://www.blueavocado.org/content/five-internal-controls-very-small-nonprofit" TargetMode="External"/><Relationship Id="rId39" Type="http://schemas.openxmlformats.org/officeDocument/2006/relationships/hyperlink" Target="http://www.nonprofitrisk.org/store/pub_detail.asp?id=60" TargetMode="Externa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hyperlink" Target="https://rates.psc.gov/fms/dca/np_exall2.html" TargetMode="External"/><Relationship Id="rId42" Type="http://schemas.openxmlformats.org/officeDocument/2006/relationships/hyperlink" Target="http://www.councilofnonprofits.org/resources/resources-topic/ethics-accountability"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lru.org/topics/cil-financial-management" TargetMode="External"/><Relationship Id="rId17" Type="http://schemas.openxmlformats.org/officeDocument/2006/relationships/footer" Target="footer6.xml"/><Relationship Id="rId25" Type="http://schemas.openxmlformats.org/officeDocument/2006/relationships/hyperlink" Target="http://www.blueavocado.org/" TargetMode="External"/><Relationship Id="rId33" Type="http://schemas.openxmlformats.org/officeDocument/2006/relationships/hyperlink" Target="https://rates.psc.gov/fms/dca/CIL%20guidance.pdf" TargetMode="External"/><Relationship Id="rId38" Type="http://schemas.openxmlformats.org/officeDocument/2006/relationships/hyperlink" Target="http://www.nonprofitrisk.org/advice/faqs/employment2.shtml" TargetMode="External"/><Relationship Id="rId46"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www.ilru.org/training/how-prepare-indirect-cost-rate-proposal" TargetMode="External"/><Relationship Id="rId29" Type="http://schemas.openxmlformats.org/officeDocument/2006/relationships/hyperlink" Target="https://www.nonprofitrisk.org/" TargetMode="External"/><Relationship Id="rId41" Type="http://schemas.openxmlformats.org/officeDocument/2006/relationships/hyperlink" Target="http://www.nonprofitrisk.org/library/articles/employment091005.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ru.org" TargetMode="External"/><Relationship Id="rId24" Type="http://schemas.openxmlformats.org/officeDocument/2006/relationships/hyperlink" Target="https://www.nonprofitrisk.org/tools/mfmp/mfmp.shtml" TargetMode="External"/><Relationship Id="rId32" Type="http://schemas.openxmlformats.org/officeDocument/2006/relationships/hyperlink" Target="https://rates.psc.gov/fms/dca/CIL%20guidance.pdf" TargetMode="External"/><Relationship Id="rId37" Type="http://schemas.openxmlformats.org/officeDocument/2006/relationships/hyperlink" Target="https://rates.psc.gov/fms/dca/icpchecklist.pdf" TargetMode="External"/><Relationship Id="rId40" Type="http://schemas.openxmlformats.org/officeDocument/2006/relationships/hyperlink" Target="http://www.blueavocado.org/content/model-whistleblower-policy-nonprofits" TargetMode="External"/><Relationship Id="rId45" Type="http://schemas.openxmlformats.org/officeDocument/2006/relationships/hyperlink" Target="http://www.acl.gov/Programs/AoD/ILA/Index.aspx"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ouncilofnonprofits.org/resources/financial-management" TargetMode="External"/><Relationship Id="rId28" Type="http://schemas.openxmlformats.org/officeDocument/2006/relationships/hyperlink" Target="http://www.blueavocado.org/content/get-most-value-your-audit" TargetMode="External"/><Relationship Id="rId36" Type="http://schemas.openxmlformats.org/officeDocument/2006/relationships/hyperlink" Target="https://rates.psc.gov/fms/dca/icpchecklist.pdf" TargetMode="External"/><Relationship Id="rId10" Type="http://schemas.openxmlformats.org/officeDocument/2006/relationships/image" Target="media/image2.jpeg"/><Relationship Id="rId19" Type="http://schemas.openxmlformats.org/officeDocument/2006/relationships/hyperlink" Target="http://www.ilru.org/training/new-indirect-cost-rate-requirements-for-cils" TargetMode="External"/><Relationship Id="rId31" Type="http://schemas.openxmlformats.org/officeDocument/2006/relationships/hyperlink" Target="http://www.ilru.org/training/how-prepare-indirect-cost-rate-proposal" TargetMode="External"/><Relationship Id="rId44" Type="http://schemas.openxmlformats.org/officeDocument/2006/relationships/hyperlink" Target="http://www.ecfr.gov/cgi-bin/text-idx?SID=6214841a79953f26c5c230d72d6b70a1&amp;tpl=/ecfrbrowse/Title02/2cfr200_main_02.t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gsa.gov/portal/category/100120" TargetMode="External"/><Relationship Id="rId22" Type="http://schemas.openxmlformats.org/officeDocument/2006/relationships/footer" Target="footer9.xml"/><Relationship Id="rId27" Type="http://schemas.openxmlformats.org/officeDocument/2006/relationships/hyperlink" Target="http://www.blueavocado.org/content/focus-destination-not-route-budget" TargetMode="External"/><Relationship Id="rId30" Type="http://schemas.openxmlformats.org/officeDocument/2006/relationships/hyperlink" Target="https://www.nonprofitrisk.org/tools/mrmp/mrmp.shtml" TargetMode="External"/><Relationship Id="rId35" Type="http://schemas.openxmlformats.org/officeDocument/2006/relationships/hyperlink" Target="https://rates.psc.gov/fms/dca/np_exall2.html" TargetMode="External"/><Relationship Id="rId43" Type="http://schemas.openxmlformats.org/officeDocument/2006/relationships/hyperlink" Target="http://www.carf.org/WorkArea/DownloadAsset.aspx?id=22494" TargetMode="External"/><Relationship Id="rId48" Type="http://schemas.openxmlformats.org/officeDocument/2006/relationships/theme" Target="theme/theme1.xml"/></Relationships>
</file>

<file path=word/_rels/footer10.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footer6.xml.rels><?xml version="1.0" encoding="UTF-8" standalone="yes"?>
<Relationships xmlns="http://schemas.openxmlformats.org/package/2006/relationships"><Relationship Id="rId1" Type="http://schemas.openxmlformats.org/officeDocument/2006/relationships/image" Target="media/image1.jpeg"/></Relationships>
</file>

<file path=word/_rels/footer7.xml.rels><?xml version="1.0" encoding="UTF-8" standalone="yes"?>
<Relationships xmlns="http://schemas.openxmlformats.org/package/2006/relationships"><Relationship Id="rId1" Type="http://schemas.openxmlformats.org/officeDocument/2006/relationships/image" Target="media/image1.jpeg"/></Relationships>
</file>

<file path=word/_rels/footer8.xml.rels><?xml version="1.0" encoding="UTF-8" standalone="yes"?>
<Relationships xmlns="http://schemas.openxmlformats.org/package/2006/relationships"><Relationship Id="rId1" Type="http://schemas.openxmlformats.org/officeDocument/2006/relationships/image" Target="media/image1.jpeg"/></Relationships>
</file>

<file path=word/_rels/footer9.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independentsector.org/volunteer_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0A3E5-BC69-45A2-8FC5-3668C874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10716</Words>
  <Characters>61085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Heveron</dc:creator>
  <cp:lastModifiedBy>Heinsohn, Dawn</cp:lastModifiedBy>
  <cp:revision>13</cp:revision>
  <cp:lastPrinted>2016-04-28T16:33:00Z</cp:lastPrinted>
  <dcterms:created xsi:type="dcterms:W3CDTF">2016-04-27T14:19:00Z</dcterms:created>
  <dcterms:modified xsi:type="dcterms:W3CDTF">2016-05-02T16:24:00Z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